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pStyle w:val="8"/>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p>
    <w:p>
      <w:pPr>
        <w:pStyle w:val="9"/>
        <w:jc w:val="center"/>
        <w:rPr>
          <w:rFonts w:hint="eastAsia" w:ascii="仿宋_GB2312" w:hAnsi="Calibri" w:eastAsia="仿宋_GB2312" w:cs="Times New Roman"/>
          <w:color w:val="000000"/>
          <w:kern w:val="2"/>
          <w:sz w:val="32"/>
          <w:szCs w:val="32"/>
          <w:highlight w:val="none"/>
          <w:lang w:val="en-US" w:eastAsia="zh-CN" w:bidi="ar-SA"/>
        </w:rPr>
      </w:pPr>
      <w:r>
        <w:rPr>
          <w:rFonts w:hint="eastAsia" w:ascii="仿宋_GB2312" w:hAnsi="Calibri" w:eastAsia="仿宋_GB2312" w:cs="Times New Roman"/>
          <w:color w:val="000000"/>
          <w:kern w:val="2"/>
          <w:sz w:val="32"/>
          <w:szCs w:val="32"/>
          <w:highlight w:val="none"/>
          <w:lang w:val="en-US" w:eastAsia="zh-CN" w:bidi="ar-SA"/>
        </w:rPr>
        <w:t>安政办规〔202</w:t>
      </w:r>
      <w:r>
        <w:rPr>
          <w:rFonts w:hint="eastAsia" w:ascii="仿宋_GB2312" w:eastAsia="仿宋_GB2312" w:cs="Times New Roman"/>
          <w:color w:val="000000"/>
          <w:kern w:val="2"/>
          <w:sz w:val="32"/>
          <w:szCs w:val="32"/>
          <w:highlight w:val="none"/>
          <w:lang w:val="en-US" w:eastAsia="zh-CN" w:bidi="ar-SA"/>
        </w:rPr>
        <w:t>4</w:t>
      </w:r>
      <w:r>
        <w:rPr>
          <w:rFonts w:hint="eastAsia" w:ascii="仿宋_GB2312" w:hAnsi="Calibri" w:eastAsia="仿宋_GB2312" w:cs="Times New Roman"/>
          <w:color w:val="000000"/>
          <w:kern w:val="2"/>
          <w:sz w:val="32"/>
          <w:szCs w:val="32"/>
          <w:highlight w:val="none"/>
          <w:lang w:val="en-US" w:eastAsia="zh-CN" w:bidi="ar-SA"/>
        </w:rPr>
        <w:t>〕1号</w:t>
      </w:r>
      <w:bookmarkStart w:id="0" w:name="_GoBack"/>
      <w:bookmarkEnd w:id="0"/>
    </w:p>
    <w:p>
      <w:pPr>
        <w:pStyle w:val="6"/>
        <w:rPr>
          <w:rFonts w:hint="eastAsia"/>
          <w:highlight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eastAsia="方正小标宋简体"/>
          <w:sz w:val="44"/>
          <w:szCs w:val="44"/>
          <w:highlight w:val="none"/>
        </w:rPr>
      </w:pPr>
      <w:r>
        <w:rPr>
          <w:rFonts w:eastAsia="方正小标宋简体"/>
          <w:sz w:val="44"/>
          <w:szCs w:val="44"/>
          <w:highlight w:val="none"/>
        </w:rPr>
        <w:t>安溪县人民政府办公室关于</w:t>
      </w:r>
      <w:r>
        <w:rPr>
          <w:rFonts w:hint="eastAsia" w:eastAsia="方正小标宋简体"/>
          <w:sz w:val="44"/>
          <w:szCs w:val="44"/>
          <w:highlight w:val="none"/>
          <w:lang w:eastAsia="zh-CN"/>
        </w:rPr>
        <w:t>印发《</w:t>
      </w:r>
      <w:r>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t>安溪县实施“三茶”统筹促进茶产业高质量发展</w:t>
      </w:r>
      <w:r>
        <w:rPr>
          <w:rFonts w:hint="eastAsia" w:ascii="方正小标宋简体" w:hAnsi="方正小标宋简体" w:eastAsia="方正小标宋简体" w:cs="方正小标宋简体"/>
          <w:color w:val="auto"/>
          <w:spacing w:val="0"/>
          <w:kern w:val="0"/>
          <w:sz w:val="44"/>
          <w:szCs w:val="44"/>
          <w:highlight w:val="none"/>
          <w:u w:val="none" w:color="auto"/>
          <w:lang w:eastAsia="zh-CN"/>
        </w:rPr>
        <w:t>扶持</w:t>
      </w:r>
      <w:r>
        <w:rPr>
          <w:rFonts w:hint="eastAsia" w:ascii="方正小标宋简体" w:hAnsi="方正小标宋简体" w:eastAsia="方正小标宋简体" w:cs="方正小标宋简体"/>
          <w:color w:val="auto"/>
          <w:spacing w:val="0"/>
          <w:kern w:val="0"/>
          <w:sz w:val="44"/>
          <w:szCs w:val="44"/>
          <w:highlight w:val="none"/>
          <w:u w:val="none" w:color="auto"/>
        </w:rPr>
        <w:t>措施</w:t>
      </w:r>
      <w:r>
        <w:rPr>
          <w:rFonts w:hint="eastAsia" w:ascii="方正小标宋简体" w:hAnsi="方正小标宋简体" w:eastAsia="方正小标宋简体" w:cs="方正小标宋简体"/>
          <w:color w:val="auto"/>
          <w:spacing w:val="0"/>
          <w:kern w:val="0"/>
          <w:sz w:val="44"/>
          <w:szCs w:val="44"/>
          <w:highlight w:val="none"/>
          <w:u w:val="none" w:color="auto"/>
          <w:lang w:eastAsia="zh-CN"/>
        </w:rPr>
        <w:t>》</w:t>
      </w:r>
      <w:r>
        <w:rPr>
          <w:rFonts w:eastAsia="方正小标宋简体"/>
          <w:sz w:val="44"/>
          <w:szCs w:val="44"/>
          <w:highlight w:val="none"/>
        </w:rPr>
        <w:t>的通知</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both"/>
        <w:textAlignment w:val="auto"/>
        <w:rPr>
          <w:rFonts w:hint="eastAsia" w:ascii="仿宋_GB2312" w:hAnsi="仿宋_GB2312" w:eastAsia="仿宋_GB2312" w:cs="仿宋_GB2312"/>
          <w:color w:val="auto"/>
          <w:spacing w:val="0"/>
          <w:kern w:val="0"/>
          <w:sz w:val="28"/>
          <w:szCs w:val="28"/>
          <w:highlight w:val="none"/>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sz w:val="32"/>
          <w:szCs w:val="32"/>
          <w:highlight w:val="none"/>
        </w:rPr>
      </w:pPr>
      <w:r>
        <w:rPr>
          <w:rFonts w:hint="eastAsia" w:ascii="仿宋_GB2312" w:eastAsia="仿宋_GB2312"/>
          <w:color w:val="000000"/>
          <w:sz w:val="32"/>
          <w:szCs w:val="32"/>
          <w:highlight w:val="none"/>
          <w:lang w:eastAsia="zh-CN"/>
        </w:rPr>
        <w:t>县直各有关单位</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sz w:val="32"/>
          <w:szCs w:val="32"/>
          <w:highlight w:val="none"/>
        </w:rPr>
        <w:t>各乡镇</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中国农业银行安溪支行</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安溪农商银行</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eastAsia="仿宋_GB2312" w:cs="Times New Roman"/>
          <w:color w:val="000000"/>
          <w:sz w:val="32"/>
          <w:szCs w:val="32"/>
          <w:highlight w:val="none"/>
          <w:lang w:val="en-US" w:eastAsia="zh-CN"/>
        </w:rPr>
      </w:pPr>
      <w:r>
        <w:rPr>
          <w:rFonts w:hint="eastAsia" w:ascii="仿宋_GB2312" w:eastAsia="仿宋_GB2312" w:cs="Times New Roman"/>
          <w:color w:val="000000"/>
          <w:sz w:val="32"/>
          <w:szCs w:val="32"/>
          <w:highlight w:val="none"/>
          <w:lang w:val="en-US" w:eastAsia="zh-CN"/>
        </w:rPr>
        <w:t>《安溪县实施“三茶”统筹促进茶产业高质量发展扶持措施》已经县政府第33次常务会议研究通过，现印发给你们，请认真贯彻执行。</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jc w:val="both"/>
        <w:textAlignment w:val="auto"/>
        <w:rPr>
          <w:rFonts w:hint="eastAsia" w:ascii="仿宋_GB2312" w:hAnsi="仿宋_GB2312" w:eastAsia="仿宋_GB2312" w:cs="仿宋_GB2312"/>
          <w:color w:val="auto"/>
          <w:spacing w:val="0"/>
          <w:kern w:val="0"/>
          <w:sz w:val="32"/>
          <w:szCs w:val="32"/>
          <w:highlight w:val="none"/>
          <w:u w:val="none" w:color="auto"/>
          <w:lang w:val="en-US" w:eastAsia="zh-CN"/>
        </w:rPr>
      </w:pPr>
    </w:p>
    <w:p>
      <w:pPr>
        <w:pStyle w:val="8"/>
        <w:rPr>
          <w:rFonts w:hint="eastAsia"/>
          <w:highlight w:val="none"/>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firstLine="3200" w:firstLineChars="1000"/>
        <w:jc w:val="both"/>
        <w:textAlignment w:val="auto"/>
        <w:rPr>
          <w:rFonts w:hint="default" w:ascii="仿宋_GB2312" w:hAnsi="仿宋_GB2312" w:eastAsia="仿宋_GB2312" w:cs="仿宋_GB2312"/>
          <w:color w:val="auto"/>
          <w:spacing w:val="0"/>
          <w:kern w:val="0"/>
          <w:sz w:val="32"/>
          <w:szCs w:val="32"/>
          <w:highlight w:val="none"/>
          <w:u w:val="none" w:color="auto"/>
          <w:lang w:val="en-US" w:eastAsia="zh-CN"/>
        </w:rPr>
      </w:pPr>
      <w:r>
        <w:rPr>
          <w:rFonts w:hint="eastAsia" w:ascii="仿宋_GB2312" w:hAnsi="仿宋_GB2312" w:eastAsia="仿宋_GB2312" w:cs="仿宋_GB2312"/>
          <w:color w:val="auto"/>
          <w:spacing w:val="0"/>
          <w:kern w:val="0"/>
          <w:sz w:val="32"/>
          <w:szCs w:val="32"/>
          <w:highlight w:val="none"/>
          <w:u w:val="none" w:color="auto"/>
          <w:lang w:val="en-US" w:eastAsia="zh-CN"/>
        </w:rPr>
        <w:t xml:space="preserve">       安溪县人民政府办公室</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firstLine="5120" w:firstLineChars="1600"/>
        <w:jc w:val="both"/>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r>
        <w:rPr>
          <w:rFonts w:hint="eastAsia" w:ascii="仿宋_GB2312" w:hAnsi="仿宋_GB2312" w:eastAsia="仿宋_GB2312" w:cs="仿宋_GB2312"/>
          <w:color w:val="auto"/>
          <w:spacing w:val="0"/>
          <w:kern w:val="0"/>
          <w:sz w:val="32"/>
          <w:szCs w:val="32"/>
          <w:highlight w:val="none"/>
          <w:u w:val="none" w:color="auto"/>
          <w:lang w:val="en-US" w:eastAsia="zh-CN"/>
        </w:rPr>
        <w:t>2024年 1月12日</w:t>
      </w:r>
      <w:r>
        <w:rPr>
          <w:rFonts w:hint="eastAsia" w:ascii="仿宋_GB2312" w:hAnsi="仿宋_GB2312" w:eastAsia="仿宋_GB2312" w:cs="仿宋_GB2312"/>
          <w:color w:val="auto"/>
          <w:spacing w:val="0"/>
          <w:kern w:val="0"/>
          <w:sz w:val="32"/>
          <w:szCs w:val="32"/>
          <w:highlight w:val="none"/>
          <w:u w:val="none" w:color="auto"/>
          <w:lang w:val="en-US" w:eastAsia="zh-CN"/>
        </w:rPr>
        <w:tab/>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pPr>
      <w:r>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t>安溪县实施“三茶”统筹促进茶产业</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left="0" w:leftChars="0"/>
        <w:jc w:val="center"/>
        <w:textAlignment w:val="auto"/>
        <w:rPr>
          <w:rFonts w:hint="eastAsia" w:ascii="方正小标宋简体" w:hAnsi="方正小标宋简体" w:eastAsia="方正小标宋简体" w:cs="方正小标宋简体"/>
          <w:color w:val="auto"/>
          <w:spacing w:val="0"/>
          <w:kern w:val="0"/>
          <w:sz w:val="44"/>
          <w:szCs w:val="44"/>
          <w:highlight w:val="none"/>
          <w:u w:val="none" w:color="auto"/>
        </w:rPr>
      </w:pPr>
      <w:r>
        <w:rPr>
          <w:rFonts w:hint="eastAsia" w:ascii="方正小标宋简体" w:hAnsi="方正小标宋简体" w:eastAsia="方正小标宋简体" w:cs="方正小标宋简体"/>
          <w:color w:val="auto"/>
          <w:spacing w:val="0"/>
          <w:kern w:val="0"/>
          <w:sz w:val="44"/>
          <w:szCs w:val="44"/>
          <w:highlight w:val="none"/>
          <w:u w:val="none" w:color="auto"/>
          <w:lang w:val="en-US" w:eastAsia="zh-CN"/>
        </w:rPr>
        <w:t>高质量发展</w:t>
      </w:r>
      <w:r>
        <w:rPr>
          <w:rFonts w:hint="eastAsia" w:ascii="方正小标宋简体" w:hAnsi="方正小标宋简体" w:eastAsia="方正小标宋简体" w:cs="方正小标宋简体"/>
          <w:color w:val="auto"/>
          <w:spacing w:val="0"/>
          <w:kern w:val="0"/>
          <w:sz w:val="44"/>
          <w:szCs w:val="44"/>
          <w:highlight w:val="none"/>
          <w:u w:val="none" w:color="auto"/>
          <w:lang w:eastAsia="zh-CN"/>
        </w:rPr>
        <w:t>扶持</w:t>
      </w:r>
      <w:r>
        <w:rPr>
          <w:rFonts w:hint="eastAsia" w:ascii="方正小标宋简体" w:hAnsi="方正小标宋简体" w:eastAsia="方正小标宋简体" w:cs="方正小标宋简体"/>
          <w:color w:val="auto"/>
          <w:spacing w:val="0"/>
          <w:kern w:val="0"/>
          <w:sz w:val="44"/>
          <w:szCs w:val="44"/>
          <w:highlight w:val="none"/>
          <w:u w:val="none" w:color="auto"/>
        </w:rPr>
        <w:t>措施</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jc w:val="both"/>
        <w:textAlignment w:val="auto"/>
        <w:rPr>
          <w:rFonts w:hint="eastAsia" w:ascii="仿宋_GB2312" w:eastAsia="仿宋_GB2312"/>
          <w:color w:val="auto"/>
          <w:spacing w:val="0"/>
          <w:sz w:val="32"/>
          <w:szCs w:val="32"/>
          <w:highlight w:val="none"/>
          <w:u w:val="none" w:color="auto"/>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仿宋_GB2312" w:eastAsia="仿宋_GB2312"/>
          <w:color w:val="auto"/>
          <w:spacing w:val="0"/>
          <w:sz w:val="32"/>
          <w:szCs w:val="32"/>
          <w:highlight w:val="none"/>
          <w:u w:val="none" w:color="auto"/>
        </w:rPr>
      </w:pPr>
      <w:r>
        <w:rPr>
          <w:rFonts w:hint="eastAsia" w:ascii="仿宋_GB2312" w:eastAsia="仿宋_GB2312"/>
          <w:color w:val="auto"/>
          <w:spacing w:val="0"/>
          <w:sz w:val="32"/>
          <w:szCs w:val="32"/>
          <w:highlight w:val="none"/>
          <w:u w:val="none" w:color="auto"/>
        </w:rPr>
        <w:t>为进一步贯彻落实习近平总书记来闽考察时提出的“要统筹做好茶文化、茶产业、茶科技这篇大文章”指示精神，持续推进安溪茶产业“稳一产、强二产、优三产”发展战略，不断提升茶文化影响力、茶产业竞争力和茶科技支撑力，延伸壮大茶产业链，</w:t>
      </w:r>
      <w:r>
        <w:rPr>
          <w:rFonts w:hint="eastAsia" w:ascii="仿宋_GB2312" w:eastAsia="仿宋_GB2312"/>
          <w:color w:val="auto"/>
          <w:spacing w:val="0"/>
          <w:sz w:val="32"/>
          <w:szCs w:val="32"/>
          <w:highlight w:val="none"/>
          <w:u w:val="none" w:color="auto"/>
          <w:lang w:eastAsia="zh-CN"/>
        </w:rPr>
        <w:t>提升我县茶业现代化水平，打造中国茶产业高质量发展安溪样板。</w:t>
      </w:r>
      <w:r>
        <w:rPr>
          <w:rFonts w:hint="eastAsia" w:ascii="仿宋_GB2312" w:eastAsia="仿宋_GB2312"/>
          <w:color w:val="auto"/>
          <w:spacing w:val="0"/>
          <w:sz w:val="32"/>
          <w:szCs w:val="32"/>
          <w:highlight w:val="none"/>
          <w:u w:val="none" w:color="auto"/>
        </w:rPr>
        <w:t>结合我县实际，制定如下扶持措施：</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黑体" w:hAnsi="黑体" w:eastAsia="黑体" w:cs="黑体"/>
          <w:color w:val="auto"/>
          <w:spacing w:val="0"/>
          <w:kern w:val="0"/>
          <w:sz w:val="32"/>
          <w:szCs w:val="32"/>
          <w:highlight w:val="none"/>
          <w:u w:val="none" w:color="auto"/>
          <w:lang w:eastAsia="zh-CN"/>
        </w:rPr>
      </w:pPr>
      <w:r>
        <w:rPr>
          <w:rFonts w:hint="eastAsia" w:ascii="黑体" w:hAnsi="黑体" w:eastAsia="黑体" w:cs="黑体"/>
          <w:color w:val="auto"/>
          <w:spacing w:val="0"/>
          <w:kern w:val="0"/>
          <w:sz w:val="32"/>
          <w:szCs w:val="32"/>
          <w:highlight w:val="none"/>
          <w:u w:val="none" w:color="auto"/>
          <w:lang w:val="en-US" w:eastAsia="zh-CN"/>
        </w:rPr>
        <w:t>一、夯实基础</w:t>
      </w:r>
      <w:r>
        <w:rPr>
          <w:rFonts w:hint="eastAsia" w:ascii="黑体" w:hAnsi="黑体" w:eastAsia="黑体" w:cs="黑体"/>
          <w:color w:val="auto"/>
          <w:spacing w:val="0"/>
          <w:kern w:val="0"/>
          <w:sz w:val="32"/>
          <w:szCs w:val="32"/>
          <w:highlight w:val="none"/>
          <w:u w:val="none" w:color="auto"/>
          <w:lang w:eastAsia="zh-CN"/>
        </w:rPr>
        <w:t>，</w:t>
      </w:r>
      <w:r>
        <w:rPr>
          <w:rFonts w:hint="eastAsia" w:ascii="黑体" w:hAnsi="黑体" w:eastAsia="黑体" w:cs="黑体"/>
          <w:color w:val="auto"/>
          <w:spacing w:val="0"/>
          <w:kern w:val="0"/>
          <w:sz w:val="32"/>
          <w:szCs w:val="32"/>
          <w:highlight w:val="none"/>
          <w:u w:val="none" w:color="auto"/>
          <w:lang w:val="en-US" w:eastAsia="zh-CN"/>
        </w:rPr>
        <w:t>生态化</w:t>
      </w:r>
      <w:r>
        <w:rPr>
          <w:rFonts w:hint="eastAsia" w:ascii="黑体" w:hAnsi="黑体" w:eastAsia="黑体" w:cs="黑体"/>
          <w:color w:val="auto"/>
          <w:spacing w:val="0"/>
          <w:kern w:val="0"/>
          <w:sz w:val="32"/>
          <w:szCs w:val="32"/>
          <w:highlight w:val="none"/>
          <w:u w:val="none" w:color="auto"/>
          <w:lang w:eastAsia="zh-CN"/>
        </w:rPr>
        <w:t>发展稳一产</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rPr>
      </w:pPr>
      <w:r>
        <w:rPr>
          <w:rFonts w:hint="eastAsia" w:ascii="楷体_GB2312" w:hAnsi="楷体_GB2312" w:eastAsia="楷体_GB2312" w:cs="楷体_GB2312"/>
          <w:b/>
          <w:bCs/>
          <w:color w:val="auto"/>
          <w:spacing w:val="0"/>
          <w:sz w:val="32"/>
          <w:szCs w:val="32"/>
          <w:highlight w:val="none"/>
          <w:u w:val="none" w:color="auto"/>
          <w:lang w:val="en-US" w:eastAsia="zh-CN"/>
        </w:rPr>
        <w:t>（一）推动</w:t>
      </w:r>
      <w:r>
        <w:rPr>
          <w:rFonts w:hint="eastAsia" w:ascii="楷体_GB2312" w:hAnsi="楷体_GB2312" w:eastAsia="楷体_GB2312" w:cs="楷体_GB2312"/>
          <w:b/>
          <w:bCs/>
          <w:color w:val="auto"/>
          <w:spacing w:val="0"/>
          <w:sz w:val="32"/>
          <w:szCs w:val="32"/>
          <w:highlight w:val="none"/>
          <w:u w:val="none" w:color="auto"/>
          <w:lang w:eastAsia="zh-CN"/>
        </w:rPr>
        <w:t>绿色发展。</w:t>
      </w:r>
      <w:r>
        <w:rPr>
          <w:rFonts w:hint="eastAsia" w:ascii="仿宋_GB2312" w:eastAsia="仿宋_GB2312"/>
          <w:color w:val="auto"/>
          <w:spacing w:val="0"/>
          <w:sz w:val="32"/>
          <w:szCs w:val="32"/>
          <w:highlight w:val="none"/>
          <w:u w:val="none" w:color="auto"/>
        </w:rPr>
        <w:t>设立绿色发展专项</w:t>
      </w:r>
      <w:r>
        <w:rPr>
          <w:rFonts w:hint="eastAsia" w:ascii="仿宋_GB2312" w:eastAsia="仿宋_GB2312"/>
          <w:color w:val="auto"/>
          <w:spacing w:val="0"/>
          <w:sz w:val="32"/>
          <w:szCs w:val="32"/>
          <w:highlight w:val="none"/>
          <w:u w:val="none" w:color="auto"/>
          <w:lang w:eastAsia="zh-CN"/>
        </w:rPr>
        <w:t>扶持</w:t>
      </w:r>
      <w:r>
        <w:rPr>
          <w:rFonts w:hint="eastAsia" w:ascii="仿宋_GB2312" w:eastAsia="仿宋_GB2312"/>
          <w:color w:val="auto"/>
          <w:spacing w:val="0"/>
          <w:sz w:val="32"/>
          <w:szCs w:val="32"/>
          <w:highlight w:val="none"/>
          <w:u w:val="none" w:color="auto"/>
        </w:rPr>
        <w:t>资金</w:t>
      </w:r>
      <w:r>
        <w:rPr>
          <w:rFonts w:hint="eastAsia" w:ascii="仿宋_GB2312" w:eastAsia="仿宋_GB2312"/>
          <w:color w:val="auto"/>
          <w:spacing w:val="0"/>
          <w:sz w:val="32"/>
          <w:szCs w:val="32"/>
          <w:highlight w:val="none"/>
          <w:u w:val="none" w:color="auto"/>
          <w:lang w:val="en-US" w:eastAsia="zh-CN"/>
        </w:rPr>
        <w:t>3</w:t>
      </w:r>
      <w:r>
        <w:rPr>
          <w:rFonts w:hint="eastAsia" w:ascii="仿宋_GB2312" w:eastAsia="仿宋_GB2312"/>
          <w:color w:val="auto"/>
          <w:spacing w:val="0"/>
          <w:sz w:val="32"/>
          <w:szCs w:val="32"/>
          <w:highlight w:val="none"/>
          <w:u w:val="none" w:color="auto"/>
        </w:rPr>
        <w:t>00万元</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并整合各级资金</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推动茶园绿色发展</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鼓励各类生产经营主体推行适度稀植、茶树留高、梯壁留草、有机肥替代化肥等生态栽培措施；开展茶园地力提升共性关键技术研究；通过政府购买服务等方式，充分发挥茶生态医院作用，指导各类生产主体经营主体科学施肥、生态栽培，提高绿色发展水平。对茶叶生产经营主体在</w:t>
      </w:r>
      <w:r>
        <w:rPr>
          <w:rFonts w:hint="eastAsia" w:ascii="仿宋_GB2312" w:eastAsia="仿宋_GB2312"/>
          <w:color w:val="auto"/>
          <w:spacing w:val="0"/>
          <w:sz w:val="32"/>
          <w:szCs w:val="32"/>
          <w:highlight w:val="none"/>
          <w:u w:val="none" w:color="auto"/>
          <w:lang w:eastAsia="zh-CN"/>
        </w:rPr>
        <w:t>具备茶叶质量检测资质的检验检测机构</w:t>
      </w:r>
      <w:r>
        <w:rPr>
          <w:rFonts w:hint="eastAsia" w:ascii="仿宋_GB2312" w:eastAsia="仿宋_GB2312"/>
          <w:color w:val="auto"/>
          <w:spacing w:val="0"/>
          <w:sz w:val="32"/>
          <w:szCs w:val="32"/>
          <w:highlight w:val="none"/>
          <w:u w:val="none" w:color="auto"/>
        </w:rPr>
        <w:t>实施茶叶质量安全检测，年度检测费用超过1万元的，县财政给予</w:t>
      </w:r>
      <w:r>
        <w:rPr>
          <w:rFonts w:hint="eastAsia" w:ascii="仿宋_GB2312" w:eastAsia="仿宋_GB2312"/>
          <w:color w:val="auto"/>
          <w:spacing w:val="0"/>
          <w:sz w:val="32"/>
          <w:szCs w:val="32"/>
          <w:highlight w:val="none"/>
          <w:u w:val="none" w:color="auto"/>
          <w:lang w:val="en-US" w:eastAsia="zh-CN"/>
        </w:rPr>
        <w:t>30</w:t>
      </w:r>
      <w:r>
        <w:rPr>
          <w:rFonts w:hint="eastAsia" w:ascii="仿宋_GB2312" w:eastAsia="仿宋_GB2312"/>
          <w:color w:val="auto"/>
          <w:spacing w:val="0"/>
          <w:sz w:val="32"/>
          <w:szCs w:val="32"/>
          <w:highlight w:val="none"/>
          <w:u w:val="none" w:color="auto"/>
        </w:rPr>
        <w:t>％的补助，单个生产经营主体当年度补助金额不超过10万元。进一步推广司雷植保等绿色防控社会化服务。</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县农业农村局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rPr>
        <w:t>各相关乡镇</w:t>
      </w:r>
    </w:p>
    <w:p>
      <w:pPr>
        <w:keepNext w:val="0"/>
        <w:keepLines w:val="0"/>
        <w:pageBreakBefore w:val="0"/>
        <w:kinsoku/>
        <w:wordWrap/>
        <w:overflowPunct/>
        <w:topLinePunct w:val="0"/>
        <w:autoSpaceDE/>
        <w:autoSpaceDN/>
        <w:bidi w:val="0"/>
        <w:adjustRightInd/>
        <w:snapToGrid/>
        <w:spacing w:line="520" w:lineRule="exact"/>
        <w:ind w:firstLine="642" w:firstLineChars="200"/>
        <w:jc w:val="both"/>
        <w:textAlignment w:val="auto"/>
        <w:rPr>
          <w:rFonts w:hint="eastAsia" w:ascii="仿宋_GB2312" w:eastAsia="仿宋_GB2312"/>
          <w:color w:val="auto"/>
          <w:spacing w:val="0"/>
          <w:sz w:val="32"/>
          <w:szCs w:val="32"/>
          <w:highlight w:val="none"/>
          <w:u w:val="none" w:color="auto"/>
        </w:rPr>
      </w:pPr>
      <w:r>
        <w:rPr>
          <w:rFonts w:hint="eastAsia" w:ascii="楷体_GB2312" w:hAnsi="楷体_GB2312" w:eastAsia="楷体_GB2312" w:cs="楷体_GB2312"/>
          <w:b/>
          <w:bCs/>
          <w:color w:val="auto"/>
          <w:spacing w:val="0"/>
          <w:sz w:val="32"/>
          <w:szCs w:val="32"/>
          <w:highlight w:val="none"/>
          <w:u w:val="none" w:color="auto"/>
          <w:lang w:val="en-US" w:eastAsia="zh-CN"/>
        </w:rPr>
        <w:t>（二）</w:t>
      </w:r>
      <w:r>
        <w:rPr>
          <w:rFonts w:hint="eastAsia" w:ascii="楷体_GB2312" w:hAnsi="楷体_GB2312" w:eastAsia="楷体_GB2312" w:cs="楷体_GB2312"/>
          <w:b/>
          <w:bCs/>
          <w:color w:val="auto"/>
          <w:sz w:val="32"/>
          <w:szCs w:val="32"/>
          <w:highlight w:val="none"/>
        </w:rPr>
        <w:t>强化“</w:t>
      </w:r>
      <w:r>
        <w:rPr>
          <w:rFonts w:hint="eastAsia" w:ascii="楷体_GB2312" w:hAnsi="楷体_GB2312" w:eastAsia="楷体_GB2312" w:cs="楷体_GB2312"/>
          <w:b/>
          <w:bCs/>
          <w:color w:val="auto"/>
          <w:sz w:val="32"/>
          <w:szCs w:val="32"/>
          <w:highlight w:val="none"/>
          <w:lang w:val="en-US" w:eastAsia="zh-CN"/>
        </w:rPr>
        <w:t>四</w:t>
      </w:r>
      <w:r>
        <w:rPr>
          <w:rFonts w:hint="eastAsia" w:ascii="楷体_GB2312" w:hAnsi="楷体_GB2312" w:eastAsia="楷体_GB2312" w:cs="楷体_GB2312"/>
          <w:b/>
          <w:bCs/>
          <w:color w:val="auto"/>
          <w:sz w:val="32"/>
          <w:szCs w:val="32"/>
          <w:highlight w:val="none"/>
        </w:rPr>
        <w:t>品一标”认证。</w:t>
      </w:r>
      <w:r>
        <w:rPr>
          <w:rFonts w:hint="eastAsia" w:ascii="仿宋_GB2312" w:eastAsia="仿宋_GB2312"/>
          <w:color w:val="auto"/>
          <w:spacing w:val="0"/>
          <w:sz w:val="32"/>
          <w:szCs w:val="32"/>
          <w:highlight w:val="none"/>
          <w:u w:val="none" w:color="auto"/>
        </w:rPr>
        <w:t>推进茶叶“</w:t>
      </w:r>
      <w:r>
        <w:rPr>
          <w:rFonts w:hint="eastAsia" w:ascii="仿宋_GB2312" w:eastAsia="仿宋_GB2312"/>
          <w:color w:val="auto"/>
          <w:spacing w:val="0"/>
          <w:sz w:val="32"/>
          <w:szCs w:val="32"/>
          <w:highlight w:val="none"/>
          <w:u w:val="none" w:color="auto"/>
          <w:lang w:eastAsia="zh-CN"/>
        </w:rPr>
        <w:t>四品</w:t>
      </w:r>
      <w:r>
        <w:rPr>
          <w:rFonts w:hint="eastAsia" w:ascii="仿宋_GB2312" w:eastAsia="仿宋_GB2312"/>
          <w:color w:val="auto"/>
          <w:spacing w:val="0"/>
          <w:sz w:val="32"/>
          <w:szCs w:val="32"/>
          <w:highlight w:val="none"/>
          <w:u w:val="none" w:color="auto"/>
        </w:rPr>
        <w:t>一标”（有机农产品、绿色食品、</w:t>
      </w:r>
      <w:r>
        <w:rPr>
          <w:rFonts w:hint="eastAsia" w:ascii="仿宋_GB2312" w:eastAsia="仿宋_GB2312"/>
          <w:color w:val="auto"/>
          <w:spacing w:val="0"/>
          <w:sz w:val="32"/>
          <w:szCs w:val="32"/>
          <w:highlight w:val="none"/>
          <w:u w:val="none" w:color="auto"/>
          <w:lang w:val="en-US" w:eastAsia="zh-CN"/>
        </w:rPr>
        <w:t>全国名特优新农产品、</w:t>
      </w:r>
      <w:r>
        <w:rPr>
          <w:rFonts w:hint="eastAsia" w:ascii="仿宋_GB2312" w:eastAsia="仿宋_GB2312"/>
          <w:color w:val="auto"/>
          <w:spacing w:val="0"/>
          <w:sz w:val="32"/>
          <w:szCs w:val="32"/>
          <w:highlight w:val="none"/>
          <w:u w:val="none" w:color="auto"/>
        </w:rPr>
        <w:t>茶叶气候品质和农产品地理标志）认证工作。鼓励、支持茶叶“</w:t>
      </w:r>
      <w:r>
        <w:rPr>
          <w:rFonts w:hint="eastAsia" w:ascii="仿宋_GB2312" w:eastAsia="仿宋_GB2312"/>
          <w:color w:val="auto"/>
          <w:spacing w:val="0"/>
          <w:sz w:val="32"/>
          <w:szCs w:val="32"/>
          <w:highlight w:val="none"/>
          <w:u w:val="none" w:color="auto"/>
          <w:lang w:eastAsia="zh-CN"/>
        </w:rPr>
        <w:t>四品</w:t>
      </w:r>
      <w:r>
        <w:rPr>
          <w:rFonts w:hint="eastAsia" w:ascii="仿宋_GB2312" w:eastAsia="仿宋_GB2312"/>
          <w:color w:val="auto"/>
          <w:spacing w:val="0"/>
          <w:sz w:val="32"/>
          <w:szCs w:val="32"/>
          <w:highlight w:val="none"/>
          <w:u w:val="none" w:color="auto"/>
        </w:rPr>
        <w:t>”认证，对首次获得有机产品、绿色食品、</w:t>
      </w:r>
      <w:r>
        <w:rPr>
          <w:rFonts w:hint="eastAsia" w:ascii="仿宋_GB2312" w:eastAsia="仿宋_GB2312"/>
          <w:color w:val="auto"/>
          <w:spacing w:val="0"/>
          <w:sz w:val="32"/>
          <w:szCs w:val="32"/>
          <w:highlight w:val="none"/>
          <w:u w:val="none" w:color="auto"/>
          <w:lang w:val="en-US" w:eastAsia="zh-CN"/>
        </w:rPr>
        <w:t>全国名特优新农产品、</w:t>
      </w:r>
      <w:r>
        <w:rPr>
          <w:rFonts w:hint="eastAsia" w:ascii="仿宋_GB2312" w:eastAsia="仿宋_GB2312"/>
          <w:color w:val="auto"/>
          <w:spacing w:val="0"/>
          <w:sz w:val="32"/>
          <w:szCs w:val="32"/>
          <w:highlight w:val="none"/>
          <w:u w:val="none" w:color="auto"/>
        </w:rPr>
        <w:t>茶叶气候品质认证“优”级以上的企业(或单位)，县财政分别给予一次性奖励3万元、2万元、1万元、1万元；支持认证的企业(或单位)“</w:t>
      </w:r>
      <w:r>
        <w:rPr>
          <w:rFonts w:hint="eastAsia" w:ascii="仿宋_GB2312" w:eastAsia="仿宋_GB2312"/>
          <w:color w:val="auto"/>
          <w:spacing w:val="0"/>
          <w:sz w:val="32"/>
          <w:szCs w:val="32"/>
          <w:highlight w:val="none"/>
          <w:u w:val="none" w:color="auto"/>
          <w:lang w:eastAsia="zh-CN"/>
        </w:rPr>
        <w:t>四品</w:t>
      </w:r>
      <w:r>
        <w:rPr>
          <w:rFonts w:hint="eastAsia" w:ascii="仿宋_GB2312" w:eastAsia="仿宋_GB2312"/>
          <w:color w:val="auto"/>
          <w:spacing w:val="0"/>
          <w:sz w:val="32"/>
          <w:szCs w:val="32"/>
          <w:highlight w:val="none"/>
          <w:u w:val="none" w:color="auto"/>
        </w:rPr>
        <w:t>一标”续证，每次续证给予1万元奖励。对同一种认证类型获得多家认证机构认证证书，只奖励一次。</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县农业农村局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rPr>
        <w:t>县市监局、茶管委办</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lang w:val="en-US" w:eastAsia="zh-CN"/>
        </w:rPr>
        <w:t>县气象局、</w:t>
      </w:r>
      <w:r>
        <w:rPr>
          <w:rFonts w:hint="eastAsia" w:ascii="仿宋_GB2312" w:eastAsia="仿宋_GB2312"/>
          <w:color w:val="auto"/>
          <w:spacing w:val="0"/>
          <w:sz w:val="32"/>
          <w:szCs w:val="32"/>
          <w:highlight w:val="none"/>
          <w:u w:val="none" w:color="auto"/>
        </w:rPr>
        <w:t>茶业发展中心、各相关乡镇</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黑体" w:hAnsi="黑体" w:eastAsia="黑体" w:cs="黑体"/>
          <w:color w:val="auto"/>
          <w:spacing w:val="0"/>
          <w:kern w:val="0"/>
          <w:sz w:val="32"/>
          <w:szCs w:val="32"/>
          <w:highlight w:val="none"/>
          <w:u w:val="none" w:color="auto"/>
          <w:lang w:val="en-US" w:eastAsia="zh-CN"/>
        </w:rPr>
      </w:pPr>
      <w:r>
        <w:rPr>
          <w:rFonts w:hint="eastAsia" w:ascii="黑体" w:hAnsi="黑体" w:eastAsia="黑体" w:cs="黑体"/>
          <w:color w:val="auto"/>
          <w:spacing w:val="0"/>
          <w:kern w:val="0"/>
          <w:sz w:val="32"/>
          <w:szCs w:val="32"/>
          <w:highlight w:val="none"/>
          <w:u w:val="none" w:color="auto"/>
          <w:lang w:val="en-US" w:eastAsia="zh-CN"/>
        </w:rPr>
        <w:t>二、做强企业，工业化提升强二产</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rPr>
      </w:pPr>
      <w:r>
        <w:rPr>
          <w:rFonts w:hint="eastAsia" w:ascii="楷体_GB2312" w:hAnsi="楷体_GB2312" w:eastAsia="楷体_GB2312" w:cs="楷体_GB2312"/>
          <w:b/>
          <w:bCs/>
          <w:color w:val="auto"/>
          <w:spacing w:val="0"/>
          <w:sz w:val="32"/>
          <w:szCs w:val="32"/>
          <w:highlight w:val="none"/>
          <w:u w:val="none" w:color="auto"/>
          <w:lang w:val="en-US" w:eastAsia="zh-CN"/>
        </w:rPr>
        <w:t>（三）提升工业化水平。</w:t>
      </w:r>
      <w:r>
        <w:rPr>
          <w:rFonts w:hint="eastAsia" w:ascii="仿宋_GB2312" w:eastAsia="仿宋_GB2312"/>
          <w:color w:val="auto"/>
          <w:spacing w:val="0"/>
          <w:sz w:val="32"/>
          <w:szCs w:val="32"/>
          <w:highlight w:val="none"/>
          <w:u w:val="none" w:color="auto"/>
        </w:rPr>
        <w:t>设立产业化专项扶持资金300万元</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lang w:val="en-US" w:eastAsia="zh-CN"/>
        </w:rPr>
        <w:t>并整合各级资金，</w:t>
      </w:r>
      <w:r>
        <w:rPr>
          <w:rFonts w:hint="eastAsia" w:ascii="仿宋_GB2312" w:eastAsia="仿宋_GB2312"/>
          <w:color w:val="auto"/>
          <w:spacing w:val="0"/>
          <w:sz w:val="32"/>
          <w:szCs w:val="32"/>
          <w:highlight w:val="none"/>
          <w:u w:val="none" w:color="auto"/>
          <w:lang w:eastAsia="zh-CN"/>
        </w:rPr>
        <w:t>用于</w:t>
      </w:r>
      <w:r>
        <w:rPr>
          <w:rFonts w:hint="eastAsia" w:ascii="仿宋_GB2312" w:eastAsia="仿宋_GB2312"/>
          <w:color w:val="auto"/>
          <w:spacing w:val="0"/>
          <w:sz w:val="32"/>
          <w:szCs w:val="32"/>
          <w:highlight w:val="none"/>
          <w:u w:val="none" w:color="auto"/>
        </w:rPr>
        <w:t>鼓励乡镇、村级、各类生产经营主体新建或改建茶叶初制</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lang w:val="en-US" w:eastAsia="zh-CN"/>
        </w:rPr>
        <w:t>精制</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加工厂房</w:t>
      </w:r>
      <w:r>
        <w:rPr>
          <w:rFonts w:hint="eastAsia" w:ascii="仿宋_GB2312" w:eastAsia="仿宋_GB2312"/>
          <w:color w:val="auto"/>
          <w:spacing w:val="0"/>
          <w:sz w:val="32"/>
          <w:szCs w:val="32"/>
          <w:highlight w:val="none"/>
          <w:u w:val="none" w:color="auto"/>
          <w:lang w:eastAsia="zh-CN"/>
        </w:rPr>
        <w:t>。引导集中建设，形成乡镇茶叶初制加工综合园区，</w:t>
      </w:r>
      <w:r>
        <w:rPr>
          <w:rFonts w:hint="eastAsia" w:ascii="仿宋_GB2312" w:eastAsia="仿宋_GB2312"/>
          <w:color w:val="auto"/>
          <w:spacing w:val="0"/>
          <w:sz w:val="32"/>
          <w:szCs w:val="32"/>
          <w:highlight w:val="none"/>
          <w:u w:val="none" w:color="auto"/>
        </w:rPr>
        <w:t>对验收达标的厂房按照等级标准</w:t>
      </w:r>
      <w:r>
        <w:rPr>
          <w:rFonts w:hint="eastAsia" w:ascii="仿宋_GB2312" w:eastAsia="仿宋_GB2312"/>
          <w:color w:val="auto"/>
          <w:spacing w:val="0"/>
          <w:sz w:val="32"/>
          <w:szCs w:val="32"/>
          <w:highlight w:val="none"/>
          <w:u w:val="none" w:color="auto"/>
          <w:lang w:eastAsia="zh-CN"/>
        </w:rPr>
        <w:t>最高</w:t>
      </w:r>
      <w:r>
        <w:rPr>
          <w:rFonts w:hint="eastAsia" w:ascii="仿宋_GB2312" w:eastAsia="仿宋_GB2312"/>
          <w:color w:val="auto"/>
          <w:spacing w:val="0"/>
          <w:sz w:val="32"/>
          <w:szCs w:val="32"/>
          <w:highlight w:val="none"/>
          <w:u w:val="none" w:color="auto"/>
        </w:rPr>
        <w:t>给予20万元补助，推动生产加工规模化、集约化、专业化发展</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推广茶叶加工清洁化、连续化、智能化生产线，对新采购符合县农业农村局、县财政局制定的申报指南要求的初、精制生产线（设备），每条（台、套）给予30％的补助</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lang w:val="en-US" w:eastAsia="zh-CN"/>
        </w:rPr>
        <w:t>最高补助金额不超过2</w:t>
      </w:r>
      <w:r>
        <w:rPr>
          <w:rFonts w:hint="eastAsia" w:ascii="仿宋_GB2312" w:eastAsia="仿宋_GB2312"/>
          <w:color w:val="auto"/>
          <w:spacing w:val="0"/>
          <w:sz w:val="32"/>
          <w:szCs w:val="32"/>
          <w:highlight w:val="none"/>
          <w:u w:val="none" w:color="auto"/>
        </w:rPr>
        <w:t>0万元</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整合各级财政资金，推行“龙头企业＋合作社＋基地＋茶农”茶叶产业化联合体。</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县农业农村局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rPr>
        <w:t>县农机中心、各相关乡镇</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rPr>
      </w:pPr>
      <w:r>
        <w:rPr>
          <w:rFonts w:hint="eastAsia" w:ascii="楷体_GB2312" w:hAnsi="楷体_GB2312" w:eastAsia="楷体_GB2312" w:cs="楷体_GB2312"/>
          <w:b/>
          <w:bCs/>
          <w:color w:val="auto"/>
          <w:spacing w:val="0"/>
          <w:sz w:val="32"/>
          <w:szCs w:val="32"/>
          <w:highlight w:val="none"/>
          <w:u w:val="none" w:color="auto"/>
          <w:lang w:val="en-US" w:eastAsia="zh-CN"/>
        </w:rPr>
        <w:t>（四）丰富产品供给。</w:t>
      </w:r>
      <w:r>
        <w:rPr>
          <w:rFonts w:hint="eastAsia" w:ascii="仿宋_GB2312" w:eastAsia="仿宋_GB2312"/>
          <w:color w:val="auto"/>
          <w:spacing w:val="0"/>
          <w:sz w:val="32"/>
          <w:szCs w:val="32"/>
          <w:highlight w:val="none"/>
          <w:u w:val="none" w:color="auto"/>
          <w:lang w:val="en-US" w:eastAsia="zh-CN"/>
        </w:rPr>
        <w:t>整合各级资金，</w:t>
      </w:r>
      <w:r>
        <w:rPr>
          <w:rFonts w:hint="eastAsia" w:ascii="仿宋_GB2312" w:eastAsia="仿宋_GB2312"/>
          <w:color w:val="auto"/>
          <w:spacing w:val="0"/>
          <w:sz w:val="32"/>
          <w:szCs w:val="32"/>
          <w:highlight w:val="none"/>
          <w:u w:val="none" w:color="auto"/>
          <w:lang w:eastAsia="zh-CN"/>
        </w:rPr>
        <w:t>持续推广中度发酵制作工艺，开发滋味更浓、韵味更足的产品。</w:t>
      </w:r>
      <w:r>
        <w:rPr>
          <w:rFonts w:hint="eastAsia" w:ascii="仿宋_GB2312" w:eastAsia="仿宋_GB2312"/>
          <w:color w:val="auto"/>
          <w:spacing w:val="0"/>
          <w:sz w:val="32"/>
          <w:szCs w:val="32"/>
          <w:highlight w:val="none"/>
          <w:u w:val="none" w:color="auto"/>
        </w:rPr>
        <w:t>鼓励品类多元化发展</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支持本山、毛蟹、梅占、肉桂、大叶乌龙</w:t>
      </w:r>
      <w:r>
        <w:rPr>
          <w:rFonts w:hint="eastAsia" w:ascii="仿宋_GB2312" w:eastAsia="仿宋_GB2312"/>
          <w:color w:val="auto"/>
          <w:spacing w:val="0"/>
          <w:sz w:val="32"/>
          <w:szCs w:val="32"/>
          <w:highlight w:val="none"/>
          <w:u w:val="none" w:color="auto"/>
          <w:lang w:eastAsia="zh-CN"/>
        </w:rPr>
        <w:t>、金观音</w:t>
      </w:r>
      <w:r>
        <w:rPr>
          <w:rFonts w:hint="eastAsia" w:ascii="仿宋_GB2312" w:eastAsia="仿宋_GB2312"/>
          <w:color w:val="auto"/>
          <w:spacing w:val="0"/>
          <w:sz w:val="32"/>
          <w:szCs w:val="32"/>
          <w:highlight w:val="none"/>
          <w:u w:val="none" w:color="auto"/>
        </w:rPr>
        <w:t>等特色名优品种申报地理标志证明商标、国家地理标志农产品</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鼓励乡镇举办安溪特色品种茶茶王赛、毛茶赛等赛事，加强特色名优品种宣传推介力度，</w:t>
      </w:r>
      <w:r>
        <w:rPr>
          <w:rFonts w:hint="eastAsia" w:ascii="仿宋_GB2312" w:eastAsia="仿宋_GB2312"/>
          <w:color w:val="auto"/>
          <w:spacing w:val="0"/>
          <w:sz w:val="32"/>
          <w:szCs w:val="32"/>
          <w:highlight w:val="none"/>
          <w:u w:val="none" w:color="auto"/>
          <w:lang w:eastAsia="zh-CN"/>
        </w:rPr>
        <w:t>打造多元产品集群。</w:t>
      </w:r>
      <w:r>
        <w:rPr>
          <w:rFonts w:hint="eastAsia" w:ascii="仿宋_GB2312" w:eastAsia="仿宋_GB2312"/>
          <w:color w:val="auto"/>
          <w:spacing w:val="0"/>
          <w:sz w:val="32"/>
          <w:szCs w:val="32"/>
          <w:highlight w:val="none"/>
          <w:u w:val="none" w:color="auto"/>
        </w:rPr>
        <w:t>鼓励茶叶企业根据市场需求开发新产品，提高市场竞争力</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lang w:val="en-US" w:eastAsia="zh-CN"/>
        </w:rPr>
        <w:t>鼓励茶叶主产乡镇开展高标准示范茶园、初制加工场所改造、技艺传承、赛事创新、人才培育、展览展销、品牌推广等，支持主产乡镇根据自身产业发展特色和优势进行差异化发展</w:t>
      </w:r>
      <w:r>
        <w:rPr>
          <w:rFonts w:hint="eastAsia" w:ascii="仿宋_GB2312" w:eastAsia="仿宋_GB2312"/>
          <w:color w:val="auto"/>
          <w:spacing w:val="0"/>
          <w:sz w:val="32"/>
          <w:szCs w:val="32"/>
          <w:highlight w:val="none"/>
          <w:u w:val="none" w:color="auto"/>
        </w:rPr>
        <w:t>。</w:t>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县农业农村局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rPr>
        <w:t>县市监局、茶业发展中心、各相关乡镇</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sz w:val="32"/>
          <w:szCs w:val="32"/>
          <w:highlight w:val="none"/>
          <w:u w:val="none" w:color="auto"/>
          <w:lang w:val="en-US" w:eastAsia="zh-CN"/>
        </w:rPr>
        <w:t>（五）扶持“百茶”发展。</w:t>
      </w:r>
      <w:r>
        <w:rPr>
          <w:rFonts w:hint="eastAsia" w:ascii="仿宋_GB2312" w:eastAsia="仿宋_GB2312"/>
          <w:color w:val="auto"/>
          <w:spacing w:val="0"/>
          <w:sz w:val="32"/>
          <w:szCs w:val="32"/>
          <w:highlight w:val="none"/>
          <w:u w:val="none" w:color="auto"/>
          <w:lang w:val="en-US" w:eastAsia="zh-CN"/>
        </w:rPr>
        <w:t>鼓励县内茶叶企业以“百茶”为原料进行精制加工，鼓励安溪各茶叶生产经营主体“买百茶、卖百茶”。同时不断优化营商环境，吸引外地不同茶类的生产经营主体落地安溪，形成优势互补，优化安溪茶叶生产结构，积极推动安溪茶产业改造升级，让中国茶都成为囊括六大茶类，汇集高端品牌茶叶、中端家庭消费茶类及中低端餐饮流通茶类的百茶之都，满足各类茶叶消费群体的不同要求。支持在安溪创办“百茶”供应链企业、“百茶”选品中心，扶持建设“百茶仓”“智慧云仓”等满足各大茶类需求的茶叶仓储，打造适合“百茶”发展的物流体系，努力将中国茶都变成中国茶叶集散加工中心。</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eastAsia="zh-CN"/>
        </w:rPr>
      </w:pPr>
      <w:r>
        <w:rPr>
          <w:rFonts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县茶管委办</w:t>
      </w:r>
      <w:r>
        <w:rPr>
          <w:rFonts w:hint="eastAsia" w:ascii="仿宋_GB2312" w:eastAsia="仿宋_GB2312"/>
          <w:color w:val="auto"/>
          <w:spacing w:val="0"/>
          <w:sz w:val="32"/>
          <w:szCs w:val="32"/>
          <w:highlight w:val="none"/>
          <w:u w:val="none" w:color="auto"/>
          <w:lang w:eastAsia="zh-CN"/>
        </w:rPr>
        <w:t>、</w:t>
      </w:r>
      <w:r>
        <w:rPr>
          <w:rFonts w:ascii="仿宋_GB2312" w:eastAsia="仿宋_GB2312"/>
          <w:color w:val="auto"/>
          <w:spacing w:val="0"/>
          <w:sz w:val="32"/>
          <w:szCs w:val="32"/>
          <w:highlight w:val="none"/>
          <w:u w:val="none" w:color="auto"/>
        </w:rPr>
        <w:t>县</w:t>
      </w:r>
      <w:r>
        <w:rPr>
          <w:rFonts w:hint="eastAsia" w:ascii="仿宋_GB2312" w:eastAsia="仿宋_GB2312"/>
          <w:color w:val="auto"/>
          <w:spacing w:val="0"/>
          <w:sz w:val="32"/>
          <w:szCs w:val="32"/>
          <w:highlight w:val="none"/>
          <w:u w:val="none" w:color="auto"/>
          <w:lang w:eastAsia="zh-CN"/>
        </w:rPr>
        <w:t>工信商局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ascii="仿宋_GB2312" w:eastAsia="仿宋_GB2312"/>
          <w:color w:val="auto"/>
          <w:spacing w:val="0"/>
          <w:sz w:val="32"/>
          <w:szCs w:val="32"/>
          <w:highlight w:val="none"/>
          <w:u w:val="none" w:color="auto"/>
        </w:rPr>
        <w:t>茶业发展中心、茶都集团、茶促会</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sz w:val="32"/>
          <w:szCs w:val="32"/>
          <w:highlight w:val="none"/>
          <w:u w:val="none" w:color="auto"/>
          <w:lang w:val="en-US" w:eastAsia="zh-CN"/>
        </w:rPr>
        <w:t>（六）培育“四上”企业。</w:t>
      </w:r>
      <w:r>
        <w:rPr>
          <w:rFonts w:hint="eastAsia" w:ascii="仿宋_GB2312" w:eastAsia="仿宋_GB2312"/>
          <w:color w:val="auto"/>
          <w:spacing w:val="0"/>
          <w:sz w:val="32"/>
          <w:szCs w:val="32"/>
          <w:highlight w:val="none"/>
          <w:u w:val="none" w:color="auto"/>
          <w:lang w:val="en-US" w:eastAsia="zh-CN"/>
        </w:rPr>
        <w:t>设立“四上”企业培育专项扶持资金600万元。大力培育涉茶规上企业和限上商贸企业，鼓励有条件的企业或经营主体积极申报。对首次提升规模或新建投产纳统的规模以上工业企业，给予20万元的奖励，并可叠加享受省级奖励，奖励金额分三年兑现，第一年奖励10万元、第二年奖励5万元、第三年奖励5万元。企业由其他类型企业(限上商贸)转规上工业的扣除原已享受纳统奖励金额给予差额奖励。对首次纳统的限上商贸企业，给予4.5万元奖励，奖励金额分三年兑现，即第一年奖励2万元、第二年奖励1.5万元、第三年奖励1万元。属于月度新增的限上商贸业，每家再叠加3万元的一次性奖励。制定出台安溪县茶产业链各环节标杆企业认定和培育工作方案，对经认定的标杆企业给予政策、资金奖励等方面的倾斜扶持。</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s="Times New Roman"/>
          <w:color w:val="auto"/>
          <w:spacing w:val="0"/>
          <w:sz w:val="32"/>
          <w:szCs w:val="32"/>
          <w:highlight w:val="none"/>
          <w:u w:val="none" w:color="auto"/>
          <w:lang w:val="en-US" w:eastAsia="zh-CN"/>
        </w:rPr>
      </w:pPr>
      <w:r>
        <w:rPr>
          <w:rFonts w:hint="eastAsia"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工信</w:t>
      </w:r>
      <w:r>
        <w:rPr>
          <w:rFonts w:hint="eastAsia" w:ascii="仿宋_GB2312" w:eastAsia="仿宋_GB2312" w:cs="Times New Roman"/>
          <w:color w:val="auto"/>
          <w:spacing w:val="0"/>
          <w:sz w:val="32"/>
          <w:szCs w:val="32"/>
          <w:highlight w:val="none"/>
          <w:u w:val="none" w:color="auto"/>
          <w:lang w:val="en-US" w:eastAsia="zh-CN"/>
        </w:rPr>
        <w:t>商局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eastAsia="仿宋_GB2312"/>
          <w:color w:val="auto"/>
          <w:spacing w:val="0"/>
          <w:highlight w:val="none"/>
          <w:u w:val="none" w:color="auto"/>
          <w:lang w:val="en-US" w:eastAsia="zh-CN"/>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rPr>
        <w:t>县茶管委办</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县农业农村局、</w:t>
      </w:r>
      <w:r>
        <w:rPr>
          <w:rFonts w:hint="eastAsia" w:ascii="仿宋_GB2312" w:eastAsia="仿宋_GB2312" w:cs="Times New Roman"/>
          <w:color w:val="auto"/>
          <w:spacing w:val="0"/>
          <w:sz w:val="32"/>
          <w:szCs w:val="32"/>
          <w:highlight w:val="none"/>
          <w:u w:val="none" w:color="auto"/>
          <w:lang w:val="en-US" w:eastAsia="zh-CN"/>
        </w:rPr>
        <w:t>茶业发展中心</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sz w:val="32"/>
          <w:szCs w:val="32"/>
          <w:highlight w:val="none"/>
          <w:u w:val="none" w:color="auto"/>
          <w:lang w:val="en-US" w:eastAsia="zh-CN"/>
        </w:rPr>
        <w:t>（七）扶持茶叶包装行业发展。</w:t>
      </w:r>
      <w:r>
        <w:rPr>
          <w:rFonts w:hint="eastAsia" w:ascii="仿宋_GB2312" w:eastAsia="仿宋_GB2312"/>
          <w:color w:val="auto"/>
          <w:spacing w:val="0"/>
          <w:sz w:val="32"/>
          <w:szCs w:val="32"/>
          <w:highlight w:val="none"/>
          <w:u w:val="none" w:color="auto"/>
          <w:lang w:val="en-US" w:eastAsia="zh-CN"/>
        </w:rPr>
        <w:t>设立茶包装发展专项扶持资金200万元。并整合各级资金，持续发展壮大茶包装产业链上下游配套。定期举办茶叶包装展销会、订货会及茶包装设计大赛等，建设茶包装集散工业园区，扶持茶包装企业做大做强。支持茶包装企业在产品创新、工艺设计、需求对接等方面下足功夫，推进茶包装专业化、高端化、品牌化建设，打造茶包装区域公共品牌。</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仿宋_GB2312" w:eastAsia="仿宋_GB2312" w:cs="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hAnsi="仿宋_GB2312" w:eastAsia="仿宋_GB2312" w:cs="仿宋_GB2312"/>
          <w:color w:val="auto"/>
          <w:spacing w:val="0"/>
          <w:sz w:val="32"/>
          <w:szCs w:val="32"/>
          <w:highlight w:val="none"/>
          <w:u w:val="none" w:color="auto"/>
        </w:rPr>
        <w:t>县</w:t>
      </w:r>
      <w:r>
        <w:rPr>
          <w:rFonts w:hint="eastAsia" w:ascii="仿宋_GB2312" w:hAnsi="仿宋_GB2312" w:eastAsia="仿宋_GB2312" w:cs="仿宋_GB2312"/>
          <w:color w:val="auto"/>
          <w:spacing w:val="0"/>
          <w:sz w:val="32"/>
          <w:szCs w:val="32"/>
          <w:highlight w:val="none"/>
          <w:u w:val="none" w:color="auto"/>
          <w:lang w:eastAsia="zh-CN"/>
        </w:rPr>
        <w:t>茶管委办、</w:t>
      </w:r>
      <w:r>
        <w:rPr>
          <w:rFonts w:hint="eastAsia" w:ascii="仿宋_GB2312" w:hAnsi="仿宋_GB2312" w:eastAsia="仿宋_GB2312" w:cs="仿宋_GB2312"/>
          <w:color w:val="auto"/>
          <w:spacing w:val="0"/>
          <w:sz w:val="32"/>
          <w:szCs w:val="32"/>
          <w:highlight w:val="none"/>
          <w:u w:val="none" w:color="auto"/>
        </w:rPr>
        <w:t>茶业发展中心</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仿宋_GB2312" w:eastAsia="仿宋_GB2312" w:cs="仿宋_GB2312"/>
          <w:color w:val="auto"/>
          <w:spacing w:val="0"/>
          <w:kern w:val="0"/>
          <w:sz w:val="32"/>
          <w:szCs w:val="32"/>
          <w:highlight w:val="none"/>
          <w:u w:val="none" w:color="auto"/>
          <w:lang w:eastAsia="zh-CN"/>
        </w:rPr>
      </w:pPr>
      <w:r>
        <w:rPr>
          <w:rFonts w:hint="eastAsia" w:ascii="仿宋_GB2312" w:eastAsia="仿宋_GB2312"/>
          <w:b/>
          <w:color w:val="auto"/>
          <w:spacing w:val="0"/>
          <w:sz w:val="32"/>
          <w:szCs w:val="32"/>
          <w:highlight w:val="none"/>
          <w:u w:val="none" w:color="auto"/>
        </w:rPr>
        <w:t>责任单位：</w:t>
      </w:r>
      <w:r>
        <w:rPr>
          <w:rFonts w:hint="eastAsia" w:ascii="仿宋_GB2312" w:hAnsi="仿宋_GB2312" w:eastAsia="仿宋_GB2312" w:cs="仿宋_GB2312"/>
          <w:color w:val="auto"/>
          <w:spacing w:val="0"/>
          <w:sz w:val="32"/>
          <w:szCs w:val="32"/>
          <w:highlight w:val="none"/>
          <w:u w:val="none" w:color="auto"/>
        </w:rPr>
        <w:t>县工信商局、茶促会</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黑体" w:hAnsi="黑体" w:eastAsia="黑体" w:cs="黑体"/>
          <w:color w:val="auto"/>
          <w:spacing w:val="0"/>
          <w:kern w:val="0"/>
          <w:sz w:val="32"/>
          <w:szCs w:val="32"/>
          <w:highlight w:val="none"/>
          <w:u w:val="none" w:color="auto"/>
          <w:lang w:val="en-US" w:eastAsia="zh-CN"/>
        </w:rPr>
      </w:pPr>
      <w:r>
        <w:rPr>
          <w:rFonts w:hint="eastAsia" w:ascii="黑体" w:hAnsi="黑体" w:eastAsia="黑体" w:cs="黑体"/>
          <w:color w:val="auto"/>
          <w:spacing w:val="0"/>
          <w:kern w:val="0"/>
          <w:sz w:val="32"/>
          <w:szCs w:val="32"/>
          <w:highlight w:val="none"/>
          <w:u w:val="none" w:color="auto"/>
          <w:lang w:val="en-US" w:eastAsia="zh-CN"/>
        </w:rPr>
        <w:t>三、品牌提升，多业态发展优三产</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楷体_GB2312" w:hAnsi="楷体_GB2312" w:eastAsia="楷体_GB2312" w:cs="楷体_GB2312"/>
          <w:b/>
          <w:bCs/>
          <w:color w:val="auto"/>
          <w:spacing w:val="0"/>
          <w:sz w:val="32"/>
          <w:szCs w:val="32"/>
          <w:highlight w:val="none"/>
          <w:u w:val="none" w:color="auto"/>
          <w:lang w:val="en-US" w:eastAsia="zh-CN"/>
        </w:rPr>
        <w:t>（八）</w:t>
      </w:r>
      <w:r>
        <w:rPr>
          <w:rFonts w:hint="eastAsia" w:ascii="楷体_GB2312" w:hAnsi="楷体_GB2312" w:eastAsia="楷体_GB2312" w:cs="楷体_GB2312"/>
          <w:b/>
          <w:color w:val="auto"/>
          <w:spacing w:val="0"/>
          <w:sz w:val="32"/>
          <w:szCs w:val="32"/>
          <w:highlight w:val="none"/>
          <w:u w:val="none" w:color="auto"/>
          <w:lang w:val="en-US" w:eastAsia="zh-CN"/>
        </w:rPr>
        <w:t>提升茶文化及品牌核心竞争力。</w:t>
      </w:r>
      <w:r>
        <w:rPr>
          <w:rFonts w:hint="eastAsia" w:ascii="仿宋_GB2312" w:eastAsia="仿宋_GB2312"/>
          <w:color w:val="auto"/>
          <w:spacing w:val="0"/>
          <w:sz w:val="32"/>
          <w:szCs w:val="32"/>
          <w:highlight w:val="none"/>
          <w:u w:val="none" w:color="auto"/>
          <w:lang w:val="en-US" w:eastAsia="zh-CN"/>
        </w:rPr>
        <w:t>设立茶文化及品牌提升专项扶持资金1000万元，并整合各级资金加大品牌宣传推广及文化投入。深入开展茶史迹调查，推动茶树种质资源保护、农遗景观提升，深化安溪铁观音茶文化系统核心区建设，加大核心区必要设施的建设（比如标志物、代表企业、代表村落命名等），打造一批“双世遗”地标工程。持续开展茶文化宣传推介、交流活动，提升安溪铁观音茶文化影响力。持续开展品牌兴茶行动计划，构建“立足安溪、面向全国、走向世界”的品牌宣传体系。制定出台专项政策，支持鼓励茶叶企业规范使用地理标志专用标志。对县级涉茶部门组织企业参加国内外展览展销活动的，展位费、特装费等公共推广费用由县财政承担。对县级涉茶部门、茶促会推荐企业参加国内外展览展销活动的，给予适当补助。</w:t>
      </w:r>
      <w:r>
        <w:rPr>
          <w:rFonts w:hint="eastAsia" w:ascii="仿宋_GB2312" w:hAnsi="Calibri" w:eastAsia="仿宋_GB2312" w:cs="Times New Roman"/>
          <w:color w:val="auto"/>
          <w:spacing w:val="0"/>
          <w:kern w:val="2"/>
          <w:sz w:val="32"/>
          <w:szCs w:val="32"/>
          <w:highlight w:val="none"/>
          <w:u w:val="none" w:color="auto"/>
          <w:lang w:val="en-US" w:eastAsia="zh-CN" w:bidi="ar-SA"/>
        </w:rPr>
        <w:t>鼓励企业积极拓展国际市场，对参加省、市、县组团赴境外开展推介、宣传、市场考察等经贸活动，按照规定给予扶持。</w:t>
      </w:r>
      <w:r>
        <w:rPr>
          <w:rFonts w:hint="eastAsia" w:ascii="仿宋_GB2312" w:eastAsia="仿宋_GB2312"/>
          <w:color w:val="auto"/>
          <w:spacing w:val="0"/>
          <w:sz w:val="32"/>
          <w:szCs w:val="32"/>
          <w:highlight w:val="none"/>
          <w:u w:val="none" w:color="auto"/>
          <w:lang w:val="en-US" w:eastAsia="zh-CN"/>
        </w:rPr>
        <w:t>发挥茶叶主产乡镇、各地茶业发展促进会资源和优势，开展安溪铁观音茶叶宣传推广活动，宣传推广费用单场总支出30万元以上的，县财政按照宣传推广符合补助条件的总支出30％给予补助，最高补助金额不超过30万元。</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Times New Roman" w:hAnsi="Times New Roman" w:eastAsia="仿宋_GB2312" w:cs="Times New Roman"/>
          <w:color w:val="auto"/>
          <w:spacing w:val="0"/>
          <w:highlight w:val="none"/>
          <w:u w:val="none" w:color="auto"/>
          <w:lang w:val="en-US" w:eastAsia="zh-CN"/>
        </w:rPr>
      </w:pPr>
      <w:r>
        <w:rPr>
          <w:rFonts w:hint="eastAsia" w:ascii="仿宋_GB2312" w:eastAsia="仿宋_GB2312" w:cs="Times New Roman"/>
          <w:b/>
          <w:bCs/>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茶管委办</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茶</w:t>
      </w:r>
      <w:r>
        <w:rPr>
          <w:rFonts w:hint="eastAsia" w:ascii="仿宋_GB2312" w:eastAsia="仿宋_GB2312"/>
          <w:color w:val="auto"/>
          <w:spacing w:val="0"/>
          <w:sz w:val="32"/>
          <w:szCs w:val="32"/>
          <w:highlight w:val="none"/>
          <w:u w:val="none" w:color="auto"/>
          <w:lang w:eastAsia="zh-CN"/>
        </w:rPr>
        <w:t>业</w:t>
      </w:r>
      <w:r>
        <w:rPr>
          <w:rFonts w:hint="eastAsia" w:ascii="仿宋_GB2312" w:eastAsia="仿宋_GB2312"/>
          <w:color w:val="auto"/>
          <w:spacing w:val="0"/>
          <w:sz w:val="32"/>
          <w:szCs w:val="32"/>
          <w:highlight w:val="none"/>
          <w:u w:val="none" w:color="auto"/>
        </w:rPr>
        <w:t>发展中心</w:t>
      </w:r>
      <w:r>
        <w:rPr>
          <w:rFonts w:hint="eastAsia" w:ascii="仿宋_GB2312" w:eastAsia="仿宋_GB2312"/>
          <w:color w:val="auto"/>
          <w:spacing w:val="0"/>
          <w:sz w:val="32"/>
          <w:szCs w:val="32"/>
          <w:highlight w:val="none"/>
          <w:u w:val="none" w:color="auto"/>
          <w:lang w:eastAsia="zh-CN"/>
        </w:rPr>
        <w:t>、茶业发展促进会</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eastAsia="zh-CN"/>
        </w:rPr>
      </w:pPr>
      <w:r>
        <w:rPr>
          <w:rFonts w:hint="eastAsia" w:ascii="仿宋_GB2312" w:hAnsi="仿宋_GB2312" w:eastAsia="仿宋_GB2312" w:cs="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lang w:val="en-US" w:eastAsia="zh-CN"/>
        </w:rPr>
        <w:t>县委宣传部、县</w:t>
      </w:r>
      <w:r>
        <w:rPr>
          <w:rFonts w:hint="eastAsia" w:ascii="仿宋_GB2312" w:eastAsia="仿宋_GB2312" w:cs="Times New Roman"/>
          <w:color w:val="auto"/>
          <w:spacing w:val="0"/>
          <w:sz w:val="32"/>
          <w:szCs w:val="32"/>
          <w:highlight w:val="none"/>
          <w:u w:val="none" w:color="auto"/>
          <w:lang w:val="en-US" w:eastAsia="zh-CN"/>
        </w:rPr>
        <w:t>财政局、文旅局、</w:t>
      </w:r>
      <w:r>
        <w:rPr>
          <w:rFonts w:hint="eastAsia" w:ascii="仿宋_GB2312" w:eastAsia="仿宋_GB2312" w:cs="Times New Roman"/>
          <w:color w:val="auto"/>
          <w:spacing w:val="0"/>
          <w:sz w:val="32"/>
          <w:szCs w:val="32"/>
          <w:highlight w:val="none"/>
          <w:u w:val="none" w:color="auto"/>
        </w:rPr>
        <w:t>农业农村局</w:t>
      </w:r>
      <w:r>
        <w:rPr>
          <w:rFonts w:hint="eastAsia" w:ascii="仿宋_GB2312" w:eastAsia="仿宋_GB2312" w:cs="Times New Roman"/>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工信商局</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贸促会</w:t>
      </w:r>
      <w:r>
        <w:rPr>
          <w:rFonts w:hint="eastAsia" w:ascii="仿宋_GB2312" w:eastAsia="仿宋_GB2312"/>
          <w:color w:val="auto"/>
          <w:spacing w:val="0"/>
          <w:sz w:val="32"/>
          <w:szCs w:val="32"/>
          <w:highlight w:val="none"/>
          <w:u w:val="none" w:color="auto"/>
          <w:lang w:eastAsia="zh-CN"/>
        </w:rPr>
        <w:t>、工商联（总商会）</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sz w:val="32"/>
          <w:szCs w:val="32"/>
          <w:highlight w:val="none"/>
          <w:u w:val="none" w:color="auto"/>
          <w:lang w:val="en-US" w:eastAsia="zh-CN"/>
        </w:rPr>
        <w:t>（九）推动茶旅融合发展。</w:t>
      </w:r>
      <w:r>
        <w:rPr>
          <w:rFonts w:hint="eastAsia" w:ascii="仿宋_GB2312" w:eastAsia="仿宋_GB2312"/>
          <w:color w:val="auto"/>
          <w:spacing w:val="0"/>
          <w:sz w:val="32"/>
          <w:szCs w:val="32"/>
          <w:highlight w:val="none"/>
          <w:u w:val="none" w:color="auto"/>
          <w:lang w:val="en-US" w:eastAsia="zh-CN"/>
        </w:rPr>
        <w:t>创新“现代农业+文旅”发展模式，鼓励发展茶庄园业态，开展安溪茶庄园提升行动，探索文旅集团对全县茶庄园进行打包整合、整体运营的发展模式。鼓励支持茶庄园举办茶文化旅游节及涉茶文化活动，请进来“庄园游”“观光游”“体验游”。在茶庄园用地用林、手续补办、茶旅融合、道路交通、电力保障、品牌提升、科技创新、融资渠道等方面给予支持，以茶庄园建设促进三产融合发展。统筹整合茶生态、茶文化旅游资源，支持开发旅游产品，开展旅游宣传，完善旅游配套，对符合要求的，按照规定给予扶持。</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仿宋_GB2312" w:eastAsia="仿宋_GB2312" w:cs="仿宋_GB2312"/>
          <w:color w:val="auto"/>
          <w:spacing w:val="0"/>
          <w:sz w:val="32"/>
          <w:szCs w:val="32"/>
          <w:highlight w:val="none"/>
          <w:u w:val="none" w:color="auto"/>
        </w:rPr>
      </w:pPr>
      <w:r>
        <w:rPr>
          <w:rFonts w:hint="eastAsia" w:ascii="仿宋_GB2312" w:hAnsi="仿宋_GB2312" w:eastAsia="仿宋_GB2312" w:cs="仿宋_GB2312"/>
          <w:b/>
          <w:color w:val="auto"/>
          <w:spacing w:val="0"/>
          <w:sz w:val="32"/>
          <w:szCs w:val="32"/>
          <w:highlight w:val="none"/>
          <w:u w:val="none" w:color="auto"/>
        </w:rPr>
        <w:t>牵头单位：</w:t>
      </w:r>
      <w:r>
        <w:rPr>
          <w:rFonts w:hint="eastAsia" w:ascii="仿宋_GB2312" w:hAnsi="仿宋_GB2312" w:eastAsia="仿宋_GB2312" w:cs="仿宋_GB2312"/>
          <w:color w:val="auto"/>
          <w:spacing w:val="0"/>
          <w:sz w:val="32"/>
          <w:szCs w:val="32"/>
          <w:highlight w:val="none"/>
          <w:u w:val="none" w:color="auto"/>
        </w:rPr>
        <w:t>县农业农村局、文体旅局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仿宋_GB2312" w:eastAsia="仿宋_GB2312" w:cs="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olor w:val="auto"/>
          <w:spacing w:val="0"/>
          <w:sz w:val="32"/>
          <w:szCs w:val="32"/>
          <w:highlight w:val="none"/>
          <w:u w:val="none" w:color="auto"/>
        </w:rPr>
        <w:t>县</w:t>
      </w:r>
      <w:r>
        <w:rPr>
          <w:rFonts w:hint="eastAsia" w:ascii="仿宋_GB2312" w:hAnsi="仿宋_GB2312" w:eastAsia="仿宋_GB2312" w:cs="仿宋_GB2312"/>
          <w:color w:val="auto"/>
          <w:spacing w:val="0"/>
          <w:sz w:val="32"/>
          <w:szCs w:val="32"/>
          <w:highlight w:val="none"/>
          <w:u w:val="none" w:color="auto"/>
        </w:rPr>
        <w:t>住建局</w:t>
      </w:r>
      <w:r>
        <w:rPr>
          <w:rFonts w:hint="eastAsia" w:ascii="仿宋_GB2312" w:eastAsia="仿宋_GB2312" w:cs="Times New Roman"/>
          <w:color w:val="auto"/>
          <w:spacing w:val="0"/>
          <w:sz w:val="32"/>
          <w:szCs w:val="32"/>
          <w:highlight w:val="none"/>
          <w:u w:val="none" w:color="auto"/>
          <w:lang w:val="en-US" w:eastAsia="zh-CN"/>
        </w:rPr>
        <w:t>、自然资源局、市</w:t>
      </w:r>
      <w:r>
        <w:rPr>
          <w:rFonts w:hint="eastAsia" w:ascii="仿宋_GB2312" w:hAnsi="仿宋_GB2312" w:eastAsia="仿宋_GB2312" w:cs="仿宋_GB2312"/>
          <w:color w:val="auto"/>
          <w:spacing w:val="0"/>
          <w:sz w:val="32"/>
          <w:szCs w:val="32"/>
          <w:highlight w:val="none"/>
          <w:u w:val="none" w:color="auto"/>
        </w:rPr>
        <w:t>监局、林业局、水利局、交通局、供电公司</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olor w:val="auto"/>
          <w:spacing w:val="0"/>
          <w:sz w:val="32"/>
          <w:szCs w:val="32"/>
          <w:highlight w:val="none"/>
          <w:u w:val="none" w:color="auto"/>
          <w:lang w:val="en-US" w:eastAsia="zh-CN"/>
        </w:rPr>
      </w:pPr>
      <w:r>
        <w:rPr>
          <w:rFonts w:hint="eastAsia" w:ascii="楷体_GB2312" w:hAnsi="楷体_GB2312" w:eastAsia="楷体_GB2312" w:cs="楷体_GB2312"/>
          <w:b/>
          <w:bCs/>
          <w:color w:val="auto"/>
          <w:spacing w:val="0"/>
          <w:sz w:val="32"/>
          <w:szCs w:val="32"/>
          <w:highlight w:val="none"/>
          <w:u w:val="none" w:color="auto"/>
          <w:lang w:val="en-US" w:eastAsia="zh-CN"/>
        </w:rPr>
        <w:t>（十）扶持茶叶电商发展。</w:t>
      </w:r>
      <w:r>
        <w:rPr>
          <w:rFonts w:hint="eastAsia" w:ascii="仿宋_GB2312" w:eastAsia="仿宋_GB2312"/>
          <w:color w:val="auto"/>
          <w:spacing w:val="0"/>
          <w:sz w:val="32"/>
          <w:szCs w:val="32"/>
          <w:highlight w:val="none"/>
          <w:u w:val="none" w:color="auto"/>
          <w:lang w:val="en-US" w:eastAsia="zh-CN"/>
        </w:rPr>
        <w:t>加大电商规范化发展推进力度，在运营、税收、园区、物流等方面对茶叶电商企业给予指导。加大茶叶电商政策激励力度，发挥政策资金的杠杆作用，引导鼓励茶叶电商园区发展、鼓励茶叶电商企业总部回归、支持茶叶直播电商发展、支持建设茶叶电商服务平台、推动百茶供应链建设，对符合要求的，参照《安溪县人民政府办公室关于印发安溪县加快电子商务高质量发展三年行动计划（2023-2025）的通知》（安政办规〔2023〕4号）给予扶持。建设中国福茶数字科创园，打造茶叶集散加工综合园区。扶持建设茶叶区域物流中心，引进标准化、智能化物流分拣设备，提高物流分拣、配送效率，满足茶叶电商物流需求。</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s="仿宋_GB2312"/>
          <w:color w:val="auto"/>
          <w:spacing w:val="0"/>
          <w:sz w:val="32"/>
          <w:szCs w:val="32"/>
          <w:highlight w:val="none"/>
          <w:u w:val="none" w:color="auto"/>
          <w:lang w:eastAsia="zh-CN"/>
        </w:rPr>
      </w:pPr>
      <w:r>
        <w:rPr>
          <w:rFonts w:hint="eastAsia" w:ascii="仿宋_GB2312" w:hAnsi="仿宋_GB2312" w:eastAsia="仿宋_GB2312" w:cs="仿宋_GB2312"/>
          <w:b/>
          <w:color w:val="auto"/>
          <w:spacing w:val="0"/>
          <w:sz w:val="32"/>
          <w:szCs w:val="32"/>
          <w:highlight w:val="none"/>
          <w:u w:val="none" w:color="auto"/>
        </w:rPr>
        <w:t>牵头单位：</w:t>
      </w:r>
      <w:r>
        <w:rPr>
          <w:rFonts w:hint="eastAsia" w:ascii="仿宋_GB2312" w:eastAsia="仿宋_GB2312" w:cs="仿宋_GB2312"/>
          <w:color w:val="auto"/>
          <w:spacing w:val="0"/>
          <w:sz w:val="32"/>
          <w:szCs w:val="32"/>
          <w:highlight w:val="none"/>
          <w:u w:val="none" w:color="auto"/>
        </w:rPr>
        <w:t>县工信商局</w:t>
      </w:r>
      <w:r>
        <w:rPr>
          <w:rFonts w:hint="eastAsia" w:ascii="仿宋_GB2312" w:eastAsia="仿宋_GB2312" w:cs="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茶管委办</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s="仿宋_GB2312"/>
          <w:color w:val="auto"/>
          <w:spacing w:val="0"/>
          <w:sz w:val="32"/>
          <w:szCs w:val="32"/>
          <w:highlight w:val="none"/>
          <w:u w:val="none" w:color="auto"/>
        </w:rPr>
      </w:pPr>
      <w:r>
        <w:rPr>
          <w:rFonts w:hint="eastAsia" w:ascii="仿宋_GB2312" w:hAnsi="仿宋_GB2312" w:eastAsia="仿宋_GB2312" w:cs="仿宋_GB2312"/>
          <w:b/>
          <w:color w:val="auto"/>
          <w:spacing w:val="0"/>
          <w:sz w:val="32"/>
          <w:szCs w:val="32"/>
          <w:highlight w:val="none"/>
          <w:u w:val="none" w:color="auto"/>
        </w:rPr>
        <w:t>责任单位：</w:t>
      </w:r>
      <w:r>
        <w:rPr>
          <w:rFonts w:hint="eastAsia" w:ascii="仿宋_GB2312" w:eastAsia="仿宋_GB2312" w:cs="仿宋_GB2312"/>
          <w:color w:val="auto"/>
          <w:spacing w:val="0"/>
          <w:sz w:val="32"/>
          <w:szCs w:val="32"/>
          <w:highlight w:val="none"/>
          <w:u w:val="none" w:color="auto"/>
        </w:rPr>
        <w:t>县茶业发展中心、农业农村局、税务局、交通局</w:t>
      </w:r>
    </w:p>
    <w:p>
      <w:pPr>
        <w:pStyle w:val="11"/>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firstLine="642"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楷体_GB2312" w:hAnsi="楷体_GB2312" w:eastAsia="楷体_GB2312" w:cs="楷体_GB2312"/>
          <w:b/>
          <w:bCs/>
          <w:color w:val="auto"/>
          <w:spacing w:val="0"/>
          <w:sz w:val="32"/>
          <w:szCs w:val="32"/>
          <w:highlight w:val="none"/>
          <w:u w:val="none" w:color="auto"/>
          <w:lang w:val="en-US" w:eastAsia="zh-CN"/>
        </w:rPr>
        <w:t>（十一）拓展新茶饮赛道。</w:t>
      </w:r>
      <w:r>
        <w:rPr>
          <w:rFonts w:hint="eastAsia" w:ascii="仿宋_GB2312" w:hAnsi="Calibri" w:eastAsia="仿宋_GB2312" w:cs="Times New Roman"/>
          <w:color w:val="auto"/>
          <w:spacing w:val="0"/>
          <w:kern w:val="2"/>
          <w:sz w:val="32"/>
          <w:szCs w:val="32"/>
          <w:highlight w:val="none"/>
          <w:u w:val="none" w:color="auto"/>
          <w:lang w:val="en-US" w:eastAsia="zh-CN" w:bidi="ar-SA"/>
        </w:rPr>
        <w:t>出台有利新茶饮产业发展的政策文件，营造良好市场环境，打造集新茶饮产品研发、产品创新和经营管理于一体的产业发展交流平台，打通产业发展难点、堵点。全面推动新茶饮创新链、产业链、资金链、人才链深度融合，全面聚合产业发展合力。实现新茶饮企业、新茶饮原料供应企业、传统工业饮料企业及新茶饮泡饮机企业之间信息资源有机衔接。致力于文化赋能新茶饮行业发展，组织新茶饮文化主题活动及形式多样的茶文化体验活动，赋予新茶饮行业发展鲜明的时代价值与意义。</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s="仿宋_GB2312"/>
          <w:color w:val="auto"/>
          <w:spacing w:val="0"/>
          <w:sz w:val="32"/>
          <w:szCs w:val="32"/>
          <w:highlight w:val="none"/>
          <w:u w:val="none" w:color="auto"/>
          <w:lang w:eastAsia="zh-CN"/>
        </w:rPr>
      </w:pPr>
      <w:r>
        <w:rPr>
          <w:rFonts w:hint="eastAsia" w:ascii="仿宋_GB2312" w:hAnsi="仿宋_GB2312" w:eastAsia="仿宋_GB2312" w:cs="仿宋_GB2312"/>
          <w:b/>
          <w:color w:val="auto"/>
          <w:spacing w:val="0"/>
          <w:sz w:val="32"/>
          <w:szCs w:val="32"/>
          <w:highlight w:val="none"/>
          <w:u w:val="none" w:color="auto"/>
        </w:rPr>
        <w:t>牵头单位：</w:t>
      </w:r>
      <w:r>
        <w:rPr>
          <w:rFonts w:hint="eastAsia" w:ascii="仿宋_GB2312" w:eastAsia="仿宋_GB2312" w:cs="仿宋_GB2312"/>
          <w:color w:val="auto"/>
          <w:spacing w:val="0"/>
          <w:sz w:val="32"/>
          <w:szCs w:val="32"/>
          <w:highlight w:val="none"/>
          <w:u w:val="none" w:color="auto"/>
        </w:rPr>
        <w:t>县</w:t>
      </w:r>
      <w:r>
        <w:rPr>
          <w:rFonts w:hint="eastAsia" w:ascii="仿宋_GB2312" w:eastAsia="仿宋_GB2312"/>
          <w:color w:val="auto"/>
          <w:spacing w:val="0"/>
          <w:sz w:val="32"/>
          <w:szCs w:val="32"/>
          <w:highlight w:val="none"/>
          <w:u w:val="none" w:color="auto"/>
        </w:rPr>
        <w:t>茶管委办</w:t>
      </w:r>
      <w:r>
        <w:rPr>
          <w:rFonts w:hint="eastAsia" w:ascii="仿宋_GB2312" w:eastAsia="仿宋_GB2312"/>
          <w:color w:val="auto"/>
          <w:spacing w:val="0"/>
          <w:sz w:val="32"/>
          <w:szCs w:val="32"/>
          <w:highlight w:val="none"/>
          <w:u w:val="none" w:color="auto"/>
          <w:lang w:eastAsia="zh-CN"/>
        </w:rPr>
        <w:t>、招商办</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仿宋_GB2312" w:eastAsia="仿宋_GB2312" w:cs="仿宋_GB2312"/>
          <w:color w:val="auto"/>
          <w:spacing w:val="0"/>
          <w:kern w:val="0"/>
          <w:sz w:val="32"/>
          <w:szCs w:val="32"/>
          <w:highlight w:val="none"/>
          <w:u w:val="none" w:color="auto"/>
          <w:lang w:val="en-US" w:eastAsia="zh-CN" w:bidi="ar-SA"/>
        </w:rPr>
      </w:pPr>
      <w:r>
        <w:rPr>
          <w:rFonts w:hint="eastAsia" w:ascii="仿宋_GB2312" w:hAnsi="仿宋_GB2312" w:eastAsia="仿宋_GB2312" w:cs="仿宋_GB2312"/>
          <w:b/>
          <w:color w:val="auto"/>
          <w:spacing w:val="0"/>
          <w:sz w:val="32"/>
          <w:szCs w:val="32"/>
          <w:highlight w:val="none"/>
          <w:u w:val="none" w:color="auto"/>
        </w:rPr>
        <w:t>责任单位：</w:t>
      </w:r>
      <w:r>
        <w:rPr>
          <w:rFonts w:hint="eastAsia" w:ascii="仿宋_GB2312" w:eastAsia="仿宋_GB2312" w:cs="仿宋_GB2312"/>
          <w:color w:val="auto"/>
          <w:spacing w:val="0"/>
          <w:sz w:val="32"/>
          <w:szCs w:val="32"/>
          <w:highlight w:val="none"/>
          <w:u w:val="none" w:color="auto"/>
        </w:rPr>
        <w:t>县</w:t>
      </w:r>
      <w:r>
        <w:rPr>
          <w:rFonts w:hint="eastAsia" w:ascii="仿宋_GB2312" w:eastAsia="仿宋_GB2312" w:cs="仿宋_GB2312"/>
          <w:color w:val="auto"/>
          <w:spacing w:val="0"/>
          <w:sz w:val="32"/>
          <w:szCs w:val="32"/>
          <w:highlight w:val="none"/>
          <w:u w:val="none" w:color="auto"/>
          <w:lang w:eastAsia="zh-CN"/>
        </w:rPr>
        <w:t>科技局、</w:t>
      </w:r>
      <w:r>
        <w:rPr>
          <w:rFonts w:hint="eastAsia" w:ascii="仿宋_GB2312" w:eastAsia="仿宋_GB2312" w:cs="仿宋_GB2312"/>
          <w:color w:val="auto"/>
          <w:spacing w:val="0"/>
          <w:sz w:val="32"/>
          <w:szCs w:val="32"/>
          <w:highlight w:val="none"/>
          <w:u w:val="none" w:color="auto"/>
        </w:rPr>
        <w:t>茶业发展中心、工信商局</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黑体" w:hAnsi="黑体" w:eastAsia="黑体" w:cs="黑体"/>
          <w:color w:val="auto"/>
          <w:spacing w:val="0"/>
          <w:kern w:val="0"/>
          <w:sz w:val="32"/>
          <w:szCs w:val="32"/>
          <w:highlight w:val="none"/>
          <w:u w:val="none" w:color="auto"/>
          <w:lang w:val="en-US" w:eastAsia="zh-CN"/>
        </w:rPr>
      </w:pPr>
      <w:r>
        <w:rPr>
          <w:rFonts w:hint="eastAsia" w:ascii="黑体" w:hAnsi="黑体" w:eastAsia="黑体" w:cs="黑体"/>
          <w:color w:val="auto"/>
          <w:spacing w:val="0"/>
          <w:kern w:val="0"/>
          <w:sz w:val="32"/>
          <w:szCs w:val="32"/>
          <w:highlight w:val="none"/>
          <w:u w:val="none" w:color="auto"/>
          <w:lang w:val="en-US" w:eastAsia="zh-CN"/>
        </w:rPr>
        <w:t>四、聚合要素，全方位保障促发展</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楷体_GB2312" w:hAnsi="楷体_GB2312" w:eastAsia="楷体_GB2312" w:cs="楷体_GB2312"/>
          <w:b/>
          <w:bCs/>
          <w:color w:val="auto"/>
          <w:spacing w:val="0"/>
          <w:sz w:val="32"/>
          <w:szCs w:val="32"/>
          <w:highlight w:val="none"/>
          <w:u w:val="none" w:color="auto"/>
          <w:lang w:val="en-US" w:eastAsia="zh-CN"/>
        </w:rPr>
        <w:t>（十二）加大人才培育。</w:t>
      </w:r>
      <w:r>
        <w:rPr>
          <w:rFonts w:hint="eastAsia" w:ascii="仿宋_GB2312" w:hAnsi="Calibri" w:eastAsia="仿宋_GB2312" w:cs="Times New Roman"/>
          <w:color w:val="auto"/>
          <w:spacing w:val="0"/>
          <w:kern w:val="2"/>
          <w:sz w:val="32"/>
          <w:szCs w:val="32"/>
          <w:highlight w:val="none"/>
          <w:u w:val="none" w:color="auto"/>
          <w:lang w:val="en-US" w:eastAsia="zh-CN" w:bidi="ar-SA"/>
        </w:rPr>
        <w:t>整合各级资金支持茶业人才队伍建设</w:t>
      </w:r>
      <w:r>
        <w:rPr>
          <w:rFonts w:hint="eastAsia" w:ascii="仿宋_GB2312" w:eastAsia="仿宋_GB2312" w:cs="Times New Roman"/>
          <w:color w:val="auto"/>
          <w:spacing w:val="0"/>
          <w:kern w:val="2"/>
          <w:sz w:val="32"/>
          <w:szCs w:val="32"/>
          <w:highlight w:val="none"/>
          <w:u w:val="none" w:color="auto"/>
          <w:lang w:val="en-US" w:eastAsia="zh-CN" w:bidi="ar-SA"/>
        </w:rPr>
        <w:t>。制定</w:t>
      </w:r>
      <w:r>
        <w:rPr>
          <w:rFonts w:hint="eastAsia" w:ascii="仿宋_GB2312" w:hAnsi="Calibri" w:eastAsia="仿宋_GB2312" w:cs="Times New Roman"/>
          <w:color w:val="auto"/>
          <w:spacing w:val="0"/>
          <w:kern w:val="2"/>
          <w:sz w:val="32"/>
          <w:szCs w:val="32"/>
          <w:highlight w:val="none"/>
          <w:u w:val="none" w:color="auto"/>
          <w:lang w:val="en-US" w:eastAsia="zh-CN" w:bidi="ar-SA"/>
        </w:rPr>
        <w:t>茶产业高层次人才认定</w:t>
      </w:r>
      <w:r>
        <w:rPr>
          <w:rFonts w:hint="eastAsia" w:ascii="仿宋_GB2312" w:eastAsia="仿宋_GB2312" w:cs="Times New Roman"/>
          <w:color w:val="auto"/>
          <w:spacing w:val="0"/>
          <w:kern w:val="2"/>
          <w:sz w:val="32"/>
          <w:szCs w:val="32"/>
          <w:highlight w:val="none"/>
          <w:u w:val="none" w:color="auto"/>
          <w:lang w:val="en-US" w:eastAsia="zh-CN" w:bidi="ar-SA"/>
        </w:rPr>
        <w:t>标准</w:t>
      </w:r>
      <w:r>
        <w:rPr>
          <w:rFonts w:hint="eastAsia" w:ascii="仿宋_GB2312" w:hAnsi="Calibri" w:eastAsia="仿宋_GB2312" w:cs="Times New Roman"/>
          <w:color w:val="auto"/>
          <w:spacing w:val="0"/>
          <w:kern w:val="2"/>
          <w:sz w:val="32"/>
          <w:szCs w:val="32"/>
          <w:highlight w:val="none"/>
          <w:u w:val="none" w:color="auto"/>
          <w:lang w:val="en-US" w:eastAsia="zh-CN" w:bidi="ar-SA"/>
        </w:rPr>
        <w:t>，可享受子女入学、健康体检、职称评聘等一揽子政策优待，营造有利于茶产业高层次人才创新创业的良好发展环境。支持各乡镇、涉茶团体组织开展茶业培训，提升从业人员综合素质，培养专业技术人才。开展安溪县茶叶非遗技艺师带徒“长青计划”，争取更多国家级、省、市非遗代表性传承人</w:t>
      </w:r>
      <w:r>
        <w:rPr>
          <w:rFonts w:hint="eastAsia" w:ascii="仿宋_GB2312" w:eastAsia="仿宋_GB2312" w:cs="Times New Roman"/>
          <w:color w:val="auto"/>
          <w:spacing w:val="0"/>
          <w:kern w:val="2"/>
          <w:sz w:val="32"/>
          <w:szCs w:val="32"/>
          <w:highlight w:val="none"/>
          <w:u w:val="none" w:color="auto"/>
          <w:lang w:val="en-US" w:eastAsia="zh-CN" w:bidi="ar-SA"/>
        </w:rPr>
        <w:t>。</w:t>
      </w:r>
      <w:r>
        <w:rPr>
          <w:rFonts w:hint="eastAsia" w:ascii="仿宋_GB2312" w:hAnsi="Calibri" w:eastAsia="仿宋_GB2312" w:cs="Times New Roman"/>
          <w:color w:val="auto"/>
          <w:spacing w:val="0"/>
          <w:kern w:val="2"/>
          <w:sz w:val="32"/>
          <w:szCs w:val="32"/>
          <w:highlight w:val="none"/>
          <w:u w:val="none" w:color="auto"/>
          <w:lang w:val="en-US" w:eastAsia="zh-CN" w:bidi="ar-SA"/>
        </w:rPr>
        <w:t>支持中国制茶大师、安溪铁观音大师（名匠）、安溪铁观音制茶工艺大师、农民讲师团成员等各类茶业领军人才开展大师沙龙、专题培训等素质提升工程，发挥人才引领示范作用。鼓励我县各类茶业领军人才帮扶茶行业从业人员，传承技艺、提升水平。</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eastAsia="仿宋_GB2312"/>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eastAsia="仿宋_GB2312"/>
          <w:color w:val="auto"/>
          <w:spacing w:val="0"/>
          <w:sz w:val="32"/>
          <w:szCs w:val="32"/>
          <w:highlight w:val="none"/>
          <w:u w:val="none" w:color="auto"/>
        </w:rPr>
        <w:t>县委人才办</w:t>
      </w:r>
      <w:r>
        <w:rPr>
          <w:rFonts w:hint="eastAsia" w:ascii="仿宋_GB2312" w:eastAsia="仿宋_GB2312"/>
          <w:color w:val="auto"/>
          <w:spacing w:val="0"/>
          <w:sz w:val="32"/>
          <w:szCs w:val="32"/>
          <w:highlight w:val="none"/>
          <w:u w:val="none" w:color="auto"/>
          <w:lang w:eastAsia="zh-CN"/>
        </w:rPr>
        <w:t>、</w:t>
      </w:r>
      <w:r>
        <w:rPr>
          <w:rFonts w:hint="eastAsia" w:ascii="仿宋_GB2312" w:eastAsia="仿宋_GB2312"/>
          <w:color w:val="auto"/>
          <w:spacing w:val="0"/>
          <w:sz w:val="32"/>
          <w:szCs w:val="32"/>
          <w:highlight w:val="none"/>
          <w:u w:val="none" w:color="auto"/>
        </w:rPr>
        <w:t>县茶管委办、县农业农村</w:t>
      </w:r>
      <w:r>
        <w:rPr>
          <w:rFonts w:hint="eastAsia" w:ascii="仿宋_GB2312" w:eastAsia="仿宋_GB2312" w:cs="Times New Roman"/>
          <w:color w:val="auto"/>
          <w:spacing w:val="0"/>
          <w:sz w:val="32"/>
          <w:szCs w:val="32"/>
          <w:highlight w:val="none"/>
          <w:u w:val="none" w:color="auto"/>
        </w:rPr>
        <w:t>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eastAsia="仿宋_GB2312" w:cs="Times New Roman"/>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eastAsia="仿宋_GB2312" w:cs="Times New Roman"/>
          <w:color w:val="auto"/>
          <w:spacing w:val="0"/>
          <w:sz w:val="32"/>
          <w:szCs w:val="32"/>
          <w:highlight w:val="none"/>
          <w:u w:val="none" w:color="auto"/>
          <w:lang w:val="en-US" w:eastAsia="zh-CN"/>
        </w:rPr>
        <w:t>县人社局、茶业发展中心、</w:t>
      </w:r>
      <w:r>
        <w:rPr>
          <w:rFonts w:hint="eastAsia" w:ascii="仿宋_GB2312" w:eastAsia="仿宋_GB2312" w:cs="Times New Roman"/>
          <w:color w:val="auto"/>
          <w:spacing w:val="0"/>
          <w:sz w:val="32"/>
          <w:szCs w:val="32"/>
          <w:highlight w:val="none"/>
          <w:u w:val="none" w:color="auto"/>
        </w:rPr>
        <w:t>文体旅局、茶促会，各相关乡镇</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楷体_GB2312" w:hAnsi="楷体_GB2312" w:eastAsia="楷体_GB2312" w:cs="楷体_GB2312"/>
          <w:b/>
          <w:bCs/>
          <w:color w:val="auto"/>
          <w:spacing w:val="0"/>
          <w:sz w:val="32"/>
          <w:szCs w:val="32"/>
          <w:highlight w:val="none"/>
          <w:u w:val="none" w:color="auto"/>
          <w:lang w:val="en-US" w:eastAsia="zh-CN"/>
        </w:rPr>
        <w:t>（十三）强化科技支撑。</w:t>
      </w:r>
      <w:r>
        <w:rPr>
          <w:rFonts w:hint="eastAsia" w:ascii="仿宋_GB2312" w:hAnsi="Calibri" w:eastAsia="仿宋_GB2312" w:cs="Times New Roman"/>
          <w:color w:val="auto"/>
          <w:spacing w:val="0"/>
          <w:kern w:val="2"/>
          <w:sz w:val="32"/>
          <w:szCs w:val="32"/>
          <w:highlight w:val="none"/>
          <w:u w:val="none" w:color="auto"/>
          <w:lang w:val="en-US" w:eastAsia="zh-CN" w:bidi="ar-SA"/>
        </w:rPr>
        <w:t>设立茶科技专项资金350万元</w:t>
      </w:r>
      <w:r>
        <w:rPr>
          <w:rFonts w:hint="eastAsia" w:ascii="仿宋_GB2312" w:eastAsia="仿宋_GB2312" w:cs="Times New Roman"/>
          <w:color w:val="auto"/>
          <w:spacing w:val="0"/>
          <w:kern w:val="2"/>
          <w:sz w:val="32"/>
          <w:szCs w:val="32"/>
          <w:highlight w:val="none"/>
          <w:u w:val="none" w:color="auto"/>
          <w:lang w:val="en-US" w:eastAsia="zh-CN" w:bidi="ar-SA"/>
        </w:rPr>
        <w:t>，</w:t>
      </w:r>
      <w:r>
        <w:rPr>
          <w:rFonts w:hint="eastAsia" w:ascii="仿宋_GB2312" w:hAnsi="Calibri" w:eastAsia="仿宋_GB2312" w:cs="Times New Roman"/>
          <w:color w:val="auto"/>
          <w:spacing w:val="0"/>
          <w:kern w:val="2"/>
          <w:sz w:val="32"/>
          <w:szCs w:val="32"/>
          <w:highlight w:val="none"/>
          <w:u w:val="none" w:color="auto"/>
          <w:lang w:val="en-US" w:eastAsia="zh-CN" w:bidi="ar-SA"/>
        </w:rPr>
        <w:t>整合各级资金</w:t>
      </w:r>
      <w:r>
        <w:rPr>
          <w:rFonts w:hint="eastAsia" w:ascii="仿宋_GB2312" w:eastAsia="仿宋_GB2312" w:cs="Times New Roman"/>
          <w:color w:val="auto"/>
          <w:spacing w:val="0"/>
          <w:kern w:val="2"/>
          <w:sz w:val="32"/>
          <w:szCs w:val="32"/>
          <w:highlight w:val="none"/>
          <w:u w:val="none" w:color="auto"/>
          <w:lang w:val="en-US" w:eastAsia="zh-CN" w:bidi="ar-SA"/>
        </w:rPr>
        <w:t>扶持茶科技发展。</w:t>
      </w:r>
      <w:r>
        <w:rPr>
          <w:rFonts w:hint="eastAsia" w:ascii="仿宋_GB2312" w:hAnsi="Calibri" w:eastAsia="仿宋_GB2312" w:cs="Times New Roman"/>
          <w:color w:val="auto"/>
          <w:spacing w:val="0"/>
          <w:kern w:val="2"/>
          <w:sz w:val="32"/>
          <w:szCs w:val="32"/>
          <w:highlight w:val="none"/>
          <w:u w:val="none" w:color="auto"/>
          <w:lang w:val="en-US" w:eastAsia="zh-CN" w:bidi="ar-SA"/>
        </w:rPr>
        <w:t>成立安溪乌龙茶产业研究院</w:t>
      </w:r>
      <w:r>
        <w:rPr>
          <w:rFonts w:hint="eastAsia" w:ascii="仿宋_GB2312" w:eastAsia="仿宋_GB2312" w:cs="Times New Roman"/>
          <w:color w:val="auto"/>
          <w:spacing w:val="0"/>
          <w:kern w:val="2"/>
          <w:sz w:val="32"/>
          <w:szCs w:val="32"/>
          <w:highlight w:val="none"/>
          <w:u w:val="none" w:color="auto"/>
          <w:lang w:val="en-US" w:eastAsia="zh-CN" w:bidi="ar-SA"/>
        </w:rPr>
        <w:t>。</w:t>
      </w:r>
      <w:r>
        <w:rPr>
          <w:rFonts w:hint="eastAsia" w:ascii="仿宋_GB2312" w:hAnsi="Calibri" w:eastAsia="仿宋_GB2312" w:cs="Times New Roman"/>
          <w:color w:val="auto"/>
          <w:spacing w:val="0"/>
          <w:kern w:val="2"/>
          <w:sz w:val="32"/>
          <w:szCs w:val="32"/>
          <w:highlight w:val="none"/>
          <w:u w:val="none" w:color="auto"/>
          <w:lang w:val="en-US" w:eastAsia="zh-CN" w:bidi="ar-SA"/>
        </w:rPr>
        <w:t>探索茶产业科技前沿课题研究，开展新技术在茶产业的产业化应用，促进政产学研用深度融合，进一步推动我县涉茶产业链、供应链、创新链深度融合，打造“体系化、任务型、开放式”的创新科研联合体，形成技术研发、成果转化、企业孵化、决策咨询、科创服务“五位一体”的工作布局。积极向上争取茶科技资金，鼓励新型制茶机械研发，重点支持突破清洁化、机械化、数字化、标准化、智能化、功能化加工生产等关键环节的技术难题，研发适合各茶类的茶机设备。支持举办茶科技创新赛事，持续征集绿色生产技术、智能装备技术、茶叶深加工技术、包装储运技术等前沿茶产业科研创新项目，以赛促产，促进项目、技术、人才在安溪落地、融合、发展。</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仿宋_GB2312" w:eastAsia="仿宋_GB2312" w:cs="仿宋_GB2312"/>
          <w:color w:val="auto"/>
          <w:spacing w:val="0"/>
          <w:sz w:val="32"/>
          <w:szCs w:val="32"/>
          <w:highlight w:val="none"/>
          <w:u w:val="none" w:color="auto"/>
        </w:rPr>
      </w:pPr>
      <w:r>
        <w:rPr>
          <w:rFonts w:hint="eastAsia" w:ascii="仿宋_GB2312" w:hAnsi="仿宋_GB2312" w:eastAsia="仿宋_GB2312" w:cs="仿宋_GB2312"/>
          <w:b/>
          <w:color w:val="auto"/>
          <w:spacing w:val="0"/>
          <w:sz w:val="32"/>
          <w:szCs w:val="32"/>
          <w:highlight w:val="none"/>
          <w:u w:val="none" w:color="auto"/>
        </w:rPr>
        <w:t>牵头单位：</w:t>
      </w:r>
      <w:r>
        <w:rPr>
          <w:rFonts w:hint="eastAsia" w:ascii="仿宋_GB2312" w:hAnsi="仿宋_GB2312" w:eastAsia="仿宋_GB2312" w:cs="仿宋_GB2312"/>
          <w:color w:val="auto"/>
          <w:spacing w:val="0"/>
          <w:sz w:val="32"/>
          <w:szCs w:val="32"/>
          <w:highlight w:val="none"/>
          <w:u w:val="none" w:color="auto"/>
        </w:rPr>
        <w:t>县科技局、农业农村局</w:t>
      </w:r>
      <w:r>
        <w:rPr>
          <w:rFonts w:hint="eastAsia" w:ascii="仿宋_GB2312" w:hAnsi="仿宋_GB2312" w:eastAsia="仿宋_GB2312" w:cs="仿宋_GB2312"/>
          <w:color w:val="auto"/>
          <w:spacing w:val="0"/>
          <w:sz w:val="32"/>
          <w:szCs w:val="32"/>
          <w:highlight w:val="none"/>
          <w:u w:val="none" w:color="auto"/>
          <w:lang w:eastAsia="zh-CN"/>
        </w:rPr>
        <w:t>、</w:t>
      </w:r>
      <w:r>
        <w:rPr>
          <w:rFonts w:hint="eastAsia" w:ascii="仿宋_GB2312" w:hAnsi="仿宋_GB2312" w:eastAsia="仿宋_GB2312" w:cs="仿宋_GB2312"/>
          <w:color w:val="auto"/>
          <w:spacing w:val="0"/>
          <w:sz w:val="32"/>
          <w:szCs w:val="32"/>
          <w:highlight w:val="none"/>
          <w:u w:val="none" w:color="auto"/>
        </w:rPr>
        <w:t>县茶业发展中心</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仿宋_GB2312" w:eastAsia="仿宋_GB2312" w:cs="仿宋_GB2312"/>
          <w:color w:val="auto"/>
          <w:spacing w:val="0"/>
          <w:sz w:val="32"/>
          <w:szCs w:val="32"/>
          <w:highlight w:val="none"/>
          <w:u w:val="none" w:color="auto"/>
        </w:rPr>
      </w:pPr>
      <w:r>
        <w:rPr>
          <w:rFonts w:hint="eastAsia" w:ascii="仿宋_GB2312" w:hAnsi="仿宋_GB2312" w:eastAsia="仿宋_GB2312" w:cs="仿宋_GB2312"/>
          <w:b/>
          <w:color w:val="auto"/>
          <w:spacing w:val="0"/>
          <w:sz w:val="32"/>
          <w:szCs w:val="32"/>
          <w:highlight w:val="none"/>
          <w:u w:val="none" w:color="auto"/>
        </w:rPr>
        <w:t>责任单位：</w:t>
      </w:r>
      <w:r>
        <w:rPr>
          <w:rFonts w:hint="eastAsia" w:ascii="仿宋_GB2312" w:hAnsi="仿宋_GB2312" w:eastAsia="仿宋_GB2312" w:cs="仿宋_GB2312"/>
          <w:color w:val="auto"/>
          <w:spacing w:val="0"/>
          <w:sz w:val="32"/>
          <w:szCs w:val="32"/>
          <w:highlight w:val="none"/>
          <w:u w:val="none" w:color="auto"/>
        </w:rPr>
        <w:t>县</w:t>
      </w:r>
      <w:r>
        <w:rPr>
          <w:rFonts w:hint="eastAsia" w:ascii="仿宋_GB2312" w:hAnsi="仿宋_GB2312" w:eastAsia="仿宋_GB2312" w:cs="仿宋_GB2312"/>
          <w:color w:val="auto"/>
          <w:spacing w:val="0"/>
          <w:sz w:val="32"/>
          <w:szCs w:val="32"/>
          <w:highlight w:val="none"/>
          <w:u w:val="none" w:color="auto"/>
          <w:lang w:eastAsia="zh-CN"/>
        </w:rPr>
        <w:t>委</w:t>
      </w:r>
      <w:r>
        <w:rPr>
          <w:rFonts w:hint="eastAsia" w:ascii="仿宋_GB2312" w:hAnsi="仿宋_GB2312" w:eastAsia="仿宋_GB2312" w:cs="仿宋_GB2312"/>
          <w:color w:val="auto"/>
          <w:spacing w:val="0"/>
          <w:sz w:val="32"/>
          <w:szCs w:val="32"/>
          <w:highlight w:val="none"/>
          <w:u w:val="none" w:color="auto"/>
        </w:rPr>
        <w:t>编办</w:t>
      </w:r>
      <w:r>
        <w:rPr>
          <w:rFonts w:hint="eastAsia" w:ascii="仿宋_GB2312" w:hAnsi="仿宋_GB2312" w:eastAsia="仿宋_GB2312" w:cs="仿宋_GB2312"/>
          <w:color w:val="auto"/>
          <w:spacing w:val="0"/>
          <w:sz w:val="32"/>
          <w:szCs w:val="32"/>
          <w:highlight w:val="none"/>
          <w:u w:val="none" w:color="auto"/>
          <w:lang w:eastAsia="zh-CN"/>
        </w:rPr>
        <w:t>、</w:t>
      </w:r>
      <w:r>
        <w:rPr>
          <w:rFonts w:hint="eastAsia" w:ascii="仿宋_GB2312" w:hAnsi="仿宋_GB2312" w:eastAsia="仿宋_GB2312" w:cs="仿宋_GB2312"/>
          <w:color w:val="auto"/>
          <w:spacing w:val="0"/>
          <w:sz w:val="32"/>
          <w:szCs w:val="32"/>
          <w:highlight w:val="none"/>
          <w:u w:val="none" w:color="auto"/>
        </w:rPr>
        <w:t>工信商局、气象局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楷体_GB2312" w:hAnsi="楷体_GB2312" w:eastAsia="楷体_GB2312" w:cs="楷体_GB2312"/>
          <w:b/>
          <w:bCs/>
          <w:color w:val="auto"/>
          <w:spacing w:val="0"/>
          <w:sz w:val="32"/>
          <w:szCs w:val="32"/>
          <w:highlight w:val="none"/>
          <w:u w:val="none" w:color="auto"/>
          <w:lang w:val="en-US" w:eastAsia="zh-CN"/>
        </w:rPr>
        <w:t>（十四）保障发展用地。</w:t>
      </w:r>
      <w:r>
        <w:rPr>
          <w:rFonts w:hint="eastAsia" w:ascii="仿宋_GB2312" w:hAnsi="Calibri" w:eastAsia="仿宋_GB2312" w:cs="Times New Roman"/>
          <w:color w:val="auto"/>
          <w:spacing w:val="0"/>
          <w:kern w:val="2"/>
          <w:sz w:val="32"/>
          <w:szCs w:val="32"/>
          <w:highlight w:val="none"/>
          <w:u w:val="none" w:color="auto"/>
          <w:lang w:val="en-US" w:eastAsia="zh-CN" w:bidi="ar-SA"/>
        </w:rPr>
        <w:t>对纳入县级及以上年度重点建设项目的茶产业项目，需要新增建设用地，对符合国土空间规划和国家产业政策、供地政策的，</w:t>
      </w:r>
      <w:r>
        <w:rPr>
          <w:rFonts w:hint="eastAsia" w:ascii="仿宋_GB2312" w:eastAsia="仿宋_GB2312" w:cs="Times New Roman"/>
          <w:color w:val="auto"/>
          <w:spacing w:val="0"/>
          <w:kern w:val="2"/>
          <w:sz w:val="32"/>
          <w:szCs w:val="32"/>
          <w:highlight w:val="none"/>
          <w:u w:val="none" w:color="auto"/>
          <w:lang w:val="en-US" w:eastAsia="zh-CN" w:bidi="ar-SA"/>
        </w:rPr>
        <w:t>优先给予</w:t>
      </w:r>
      <w:r>
        <w:rPr>
          <w:rFonts w:hint="eastAsia" w:ascii="仿宋_GB2312" w:hAnsi="Calibri" w:eastAsia="仿宋_GB2312" w:cs="Times New Roman"/>
          <w:color w:val="auto"/>
          <w:spacing w:val="0"/>
          <w:kern w:val="2"/>
          <w:sz w:val="32"/>
          <w:szCs w:val="32"/>
          <w:highlight w:val="none"/>
          <w:u w:val="none" w:color="auto"/>
          <w:lang w:val="en-US" w:eastAsia="zh-CN" w:bidi="ar-SA"/>
        </w:rPr>
        <w:t>用地</w:t>
      </w:r>
      <w:r>
        <w:rPr>
          <w:rFonts w:hint="eastAsia" w:ascii="仿宋_GB2312" w:eastAsia="仿宋_GB2312" w:cs="Times New Roman"/>
          <w:color w:val="auto"/>
          <w:spacing w:val="0"/>
          <w:kern w:val="2"/>
          <w:sz w:val="32"/>
          <w:szCs w:val="32"/>
          <w:highlight w:val="none"/>
          <w:u w:val="none" w:color="auto"/>
          <w:lang w:val="en-US" w:eastAsia="zh-CN" w:bidi="ar-SA"/>
        </w:rPr>
        <w:t>用林保障</w:t>
      </w:r>
      <w:r>
        <w:rPr>
          <w:rFonts w:hint="eastAsia" w:ascii="仿宋_GB2312" w:hAnsi="Calibri" w:eastAsia="仿宋_GB2312" w:cs="Times New Roman"/>
          <w:color w:val="auto"/>
          <w:spacing w:val="0"/>
          <w:kern w:val="2"/>
          <w:sz w:val="32"/>
          <w:szCs w:val="32"/>
          <w:highlight w:val="none"/>
          <w:u w:val="none" w:color="auto"/>
          <w:lang w:val="en-US" w:eastAsia="zh-CN" w:bidi="ar-SA"/>
        </w:rPr>
        <w:t>。对涉及占用耕地的项目，由县自然资源部门统筹县级补充耕地指标给予保障，补充耕地指标费用按县级指标开发成本核算缴纳。</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Calibri" w:eastAsia="仿宋_GB2312" w:cs="Times New Roman"/>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牵头单位：</w:t>
      </w:r>
      <w:r>
        <w:rPr>
          <w:rFonts w:hint="eastAsia" w:ascii="仿宋_GB2312" w:hAnsi="Calibri" w:eastAsia="仿宋_GB2312" w:cs="Times New Roman"/>
          <w:color w:val="auto"/>
          <w:spacing w:val="0"/>
          <w:sz w:val="32"/>
          <w:szCs w:val="32"/>
          <w:highlight w:val="none"/>
          <w:u w:val="none" w:color="auto"/>
        </w:rPr>
        <w:t>县</w:t>
      </w:r>
      <w:r>
        <w:rPr>
          <w:rFonts w:hint="eastAsia" w:ascii="仿宋_GB2312" w:eastAsia="仿宋_GB2312" w:cs="Times New Roman"/>
          <w:color w:val="auto"/>
          <w:spacing w:val="0"/>
          <w:sz w:val="32"/>
          <w:szCs w:val="32"/>
          <w:highlight w:val="none"/>
          <w:u w:val="none" w:color="auto"/>
          <w:lang w:eastAsia="zh-CN"/>
        </w:rPr>
        <w:t>自然</w:t>
      </w:r>
      <w:r>
        <w:rPr>
          <w:rFonts w:hint="eastAsia" w:ascii="仿宋_GB2312" w:hAnsi="Calibri" w:eastAsia="仿宋_GB2312" w:cs="Times New Roman"/>
          <w:color w:val="auto"/>
          <w:spacing w:val="0"/>
          <w:sz w:val="32"/>
          <w:szCs w:val="32"/>
          <w:highlight w:val="none"/>
          <w:u w:val="none" w:color="auto"/>
        </w:rPr>
        <w:t>资源局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Calibri" w:eastAsia="仿宋_GB2312" w:cs="Times New Roman"/>
          <w:color w:val="auto"/>
          <w:spacing w:val="0"/>
          <w:sz w:val="32"/>
          <w:szCs w:val="32"/>
          <w:highlight w:val="none"/>
          <w:u w:val="none" w:color="auto"/>
        </w:rPr>
      </w:pPr>
      <w:r>
        <w:rPr>
          <w:rFonts w:hint="eastAsia" w:ascii="仿宋_GB2312" w:eastAsia="仿宋_GB2312"/>
          <w:b/>
          <w:color w:val="auto"/>
          <w:spacing w:val="0"/>
          <w:sz w:val="32"/>
          <w:szCs w:val="32"/>
          <w:highlight w:val="none"/>
          <w:u w:val="none" w:color="auto"/>
        </w:rPr>
        <w:t>责任单位：</w:t>
      </w:r>
      <w:r>
        <w:rPr>
          <w:rFonts w:hint="eastAsia" w:ascii="仿宋_GB2312" w:hAnsi="Calibri" w:eastAsia="仿宋_GB2312" w:cs="Times New Roman"/>
          <w:color w:val="auto"/>
          <w:spacing w:val="0"/>
          <w:sz w:val="32"/>
          <w:szCs w:val="32"/>
          <w:highlight w:val="none"/>
          <w:u w:val="none" w:color="auto"/>
        </w:rPr>
        <w:t>县农业农村局、住建局</w:t>
      </w:r>
      <w:r>
        <w:rPr>
          <w:rFonts w:hint="eastAsia" w:ascii="仿宋_GB2312" w:eastAsia="仿宋_GB2312" w:cs="Times New Roman"/>
          <w:color w:val="auto"/>
          <w:spacing w:val="0"/>
          <w:sz w:val="32"/>
          <w:szCs w:val="32"/>
          <w:highlight w:val="none"/>
          <w:u w:val="none" w:color="auto"/>
          <w:lang w:eastAsia="zh-CN"/>
        </w:rPr>
        <w:t>、林业局</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楷体_GB2312" w:hAnsi="楷体_GB2312" w:eastAsia="楷体_GB2312" w:cs="楷体_GB2312"/>
          <w:b/>
          <w:bCs/>
          <w:color w:val="auto"/>
          <w:spacing w:val="0"/>
          <w:sz w:val="32"/>
          <w:szCs w:val="32"/>
          <w:highlight w:val="none"/>
          <w:u w:val="none" w:color="auto"/>
          <w:lang w:val="en-US" w:eastAsia="zh-CN"/>
        </w:rPr>
        <w:t>（十五）优化金融服务。</w:t>
      </w:r>
      <w:r>
        <w:rPr>
          <w:rFonts w:hint="eastAsia" w:ascii="仿宋_GB2312" w:hAnsi="Calibri" w:eastAsia="仿宋_GB2312" w:cs="Times New Roman"/>
          <w:color w:val="auto"/>
          <w:spacing w:val="0"/>
          <w:kern w:val="2"/>
          <w:sz w:val="32"/>
          <w:szCs w:val="32"/>
          <w:highlight w:val="none"/>
          <w:u w:val="none" w:color="auto"/>
          <w:lang w:val="en-US" w:eastAsia="zh-CN" w:bidi="ar-SA"/>
        </w:rPr>
        <w:t>探索</w:t>
      </w:r>
      <w:r>
        <w:rPr>
          <w:rFonts w:hint="eastAsia" w:ascii="仿宋_GB2312" w:eastAsia="仿宋_GB2312" w:cs="Times New Roman"/>
          <w:color w:val="auto"/>
          <w:spacing w:val="0"/>
          <w:kern w:val="2"/>
          <w:sz w:val="32"/>
          <w:szCs w:val="32"/>
          <w:highlight w:val="none"/>
          <w:u w:val="none" w:color="auto"/>
          <w:lang w:val="en-US" w:eastAsia="zh-CN" w:bidi="ar-SA"/>
        </w:rPr>
        <w:t>建设</w:t>
      </w:r>
      <w:r>
        <w:rPr>
          <w:rFonts w:hint="eastAsia" w:ascii="仿宋_GB2312" w:hAnsi="Calibri" w:eastAsia="仿宋_GB2312" w:cs="Times New Roman"/>
          <w:color w:val="auto"/>
          <w:spacing w:val="0"/>
          <w:kern w:val="2"/>
          <w:sz w:val="32"/>
          <w:szCs w:val="32"/>
          <w:highlight w:val="none"/>
          <w:u w:val="none" w:color="auto"/>
          <w:lang w:val="en-US" w:eastAsia="zh-CN" w:bidi="ar-SA"/>
        </w:rPr>
        <w:t>茶</w:t>
      </w:r>
      <w:r>
        <w:rPr>
          <w:rFonts w:hint="eastAsia" w:ascii="仿宋_GB2312" w:eastAsia="仿宋_GB2312" w:cs="Times New Roman"/>
          <w:color w:val="auto"/>
          <w:spacing w:val="0"/>
          <w:kern w:val="2"/>
          <w:sz w:val="32"/>
          <w:szCs w:val="32"/>
          <w:highlight w:val="none"/>
          <w:u w:val="none" w:color="auto"/>
          <w:lang w:val="en-US" w:eastAsia="zh-CN" w:bidi="ar-SA"/>
        </w:rPr>
        <w:t>业</w:t>
      </w:r>
      <w:r>
        <w:rPr>
          <w:rFonts w:hint="eastAsia" w:ascii="仿宋_GB2312" w:hAnsi="Calibri" w:eastAsia="仿宋_GB2312" w:cs="Times New Roman"/>
          <w:color w:val="auto"/>
          <w:spacing w:val="0"/>
          <w:kern w:val="2"/>
          <w:sz w:val="32"/>
          <w:szCs w:val="32"/>
          <w:highlight w:val="none"/>
          <w:u w:val="none" w:color="auto"/>
          <w:lang w:val="en-US" w:eastAsia="zh-CN" w:bidi="ar-SA"/>
        </w:rPr>
        <w:t>金融结算中心</w:t>
      </w:r>
      <w:r>
        <w:rPr>
          <w:rFonts w:hint="eastAsia" w:ascii="仿宋_GB2312" w:eastAsia="仿宋_GB2312" w:cs="Times New Roman"/>
          <w:color w:val="auto"/>
          <w:spacing w:val="0"/>
          <w:kern w:val="2"/>
          <w:sz w:val="32"/>
          <w:szCs w:val="32"/>
          <w:highlight w:val="none"/>
          <w:u w:val="none" w:color="auto"/>
          <w:lang w:val="en-US" w:eastAsia="zh-CN" w:bidi="ar-SA"/>
        </w:rPr>
        <w:t>。</w:t>
      </w:r>
      <w:r>
        <w:rPr>
          <w:rFonts w:hint="eastAsia" w:ascii="仿宋_GB2312" w:hAnsi="Calibri" w:eastAsia="仿宋_GB2312" w:cs="Times New Roman"/>
          <w:color w:val="auto"/>
          <w:spacing w:val="0"/>
          <w:kern w:val="2"/>
          <w:sz w:val="32"/>
          <w:szCs w:val="32"/>
          <w:highlight w:val="none"/>
          <w:u w:val="none" w:color="auto"/>
          <w:lang w:val="en-US" w:eastAsia="zh-CN" w:bidi="ar-SA"/>
        </w:rPr>
        <w:t>健全完善茶产业金融支持体系，创新金融支农模式，引导金融机构建立扶持茶业发展的信贷、保险机制，创新金融产品和服务。定期召开茶产业银企对接会，提高金融服务茶产业质效。发挥政府性担保公司作用，建立茶业信贷担保体系，担保费率控制在1%以下。</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仿宋_GB2312" w:eastAsia="仿宋_GB2312" w:cs="仿宋_GB2312"/>
          <w:color w:val="auto"/>
          <w:spacing w:val="0"/>
          <w:sz w:val="32"/>
          <w:szCs w:val="32"/>
          <w:highlight w:val="none"/>
          <w:u w:val="none" w:color="auto"/>
        </w:rPr>
      </w:pPr>
      <w:r>
        <w:rPr>
          <w:rFonts w:ascii="仿宋_GB2312" w:hAnsi="仿宋_GB2312" w:eastAsia="仿宋_GB2312" w:cs="仿宋_GB2312"/>
          <w:b/>
          <w:color w:val="auto"/>
          <w:spacing w:val="0"/>
          <w:sz w:val="32"/>
          <w:szCs w:val="32"/>
          <w:highlight w:val="none"/>
          <w:u w:val="none" w:color="auto"/>
        </w:rPr>
        <w:t>牵头单位：</w:t>
      </w:r>
      <w:r>
        <w:rPr>
          <w:rFonts w:ascii="仿宋_GB2312" w:hAnsi="仿宋_GB2312" w:eastAsia="仿宋_GB2312" w:cs="仿宋_GB2312"/>
          <w:color w:val="auto"/>
          <w:spacing w:val="0"/>
          <w:sz w:val="32"/>
          <w:szCs w:val="32"/>
          <w:highlight w:val="none"/>
          <w:u w:val="none" w:color="auto"/>
        </w:rPr>
        <w:t>县金融办</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2" w:firstLineChars="200"/>
        <w:jc w:val="both"/>
        <w:textAlignment w:val="auto"/>
        <w:rPr>
          <w:rFonts w:ascii="仿宋_GB2312" w:hAnsi="仿宋_GB2312" w:eastAsia="仿宋_GB2312" w:cs="仿宋_GB2312"/>
          <w:color w:val="auto"/>
          <w:spacing w:val="0"/>
          <w:sz w:val="32"/>
          <w:szCs w:val="32"/>
          <w:highlight w:val="none"/>
          <w:u w:val="none" w:color="auto"/>
        </w:rPr>
      </w:pPr>
      <w:r>
        <w:rPr>
          <w:rFonts w:hint="eastAsia" w:ascii="仿宋_GB2312" w:hAnsi="仿宋_GB2312" w:eastAsia="仿宋_GB2312" w:cs="仿宋_GB2312"/>
          <w:b/>
          <w:color w:val="auto"/>
          <w:spacing w:val="0"/>
          <w:sz w:val="32"/>
          <w:szCs w:val="32"/>
          <w:highlight w:val="none"/>
          <w:u w:val="none" w:color="auto"/>
        </w:rPr>
        <w:t>责任单位：</w:t>
      </w:r>
      <w:r>
        <w:rPr>
          <w:rFonts w:hint="eastAsia" w:ascii="仿宋_GB2312" w:hAnsi="仿宋_GB2312" w:eastAsia="仿宋_GB2312" w:cs="仿宋_GB2312"/>
          <w:color w:val="auto"/>
          <w:spacing w:val="0"/>
          <w:sz w:val="32"/>
          <w:szCs w:val="32"/>
          <w:highlight w:val="none"/>
          <w:u w:val="none" w:color="auto"/>
        </w:rPr>
        <w:t>县财政局、工信商局、农业农村局、茶业发展中心、中国农业银行安溪支行、安溪农商银行</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仿宋_GB2312" w:hAnsi="Calibri" w:eastAsia="仿宋_GB2312" w:cs="Times New Roman"/>
          <w:color w:val="auto"/>
          <w:spacing w:val="0"/>
          <w:kern w:val="2"/>
          <w:sz w:val="32"/>
          <w:szCs w:val="32"/>
          <w:highlight w:val="none"/>
          <w:u w:val="none" w:color="auto"/>
          <w:lang w:val="en-US" w:eastAsia="zh-CN" w:bidi="ar-SA"/>
        </w:rPr>
        <w:t>各牵头单位会同责任单位根据实际情况，对相关扶持政策进一步细化分解，出台具体实施细则，交由县茶管委核定后，按要求组织实施。</w:t>
      </w:r>
    </w:p>
    <w:p>
      <w:pPr>
        <w:keepNext w:val="0"/>
        <w:keepLines w:val="0"/>
        <w:pageBreakBefore w:val="0"/>
        <w:kinsoku/>
        <w:wordWrap/>
        <w:overflowPunct/>
        <w:topLinePunct w:val="0"/>
        <w:autoSpaceDE/>
        <w:autoSpaceDN/>
        <w:bidi w:val="0"/>
        <w:adjustRightInd/>
        <w:snapToGrid/>
        <w:spacing w:beforeAutospacing="0" w:afterAutospacing="0" w:line="520" w:lineRule="exact"/>
        <w:ind w:left="0" w:leftChars="0" w:firstLine="640" w:firstLineChars="200"/>
        <w:jc w:val="both"/>
        <w:textAlignment w:val="auto"/>
        <w:rPr>
          <w:rFonts w:hint="eastAsia" w:ascii="仿宋_GB2312" w:hAnsi="Calibri" w:eastAsia="仿宋_GB2312" w:cs="Times New Roman"/>
          <w:color w:val="auto"/>
          <w:spacing w:val="0"/>
          <w:kern w:val="2"/>
          <w:sz w:val="32"/>
          <w:szCs w:val="32"/>
          <w:highlight w:val="none"/>
          <w:u w:val="none" w:color="auto"/>
          <w:lang w:val="en-US" w:eastAsia="zh-CN" w:bidi="ar-SA"/>
        </w:rPr>
      </w:pPr>
      <w:r>
        <w:rPr>
          <w:rFonts w:hint="eastAsia" w:ascii="仿宋_GB2312" w:hAnsi="Calibri" w:eastAsia="仿宋_GB2312" w:cs="Times New Roman"/>
          <w:color w:val="auto"/>
          <w:spacing w:val="0"/>
          <w:kern w:val="2"/>
          <w:sz w:val="32"/>
          <w:szCs w:val="32"/>
          <w:highlight w:val="none"/>
          <w:u w:val="none" w:color="auto"/>
          <w:lang w:val="en-US" w:eastAsia="zh-CN" w:bidi="ar-SA"/>
        </w:rPr>
        <w:t>本措施自印发之日起施行，有效期至202</w:t>
      </w:r>
      <w:r>
        <w:rPr>
          <w:rFonts w:hint="eastAsia" w:ascii="仿宋_GB2312" w:eastAsia="仿宋_GB2312" w:cs="Times New Roman"/>
          <w:color w:val="auto"/>
          <w:spacing w:val="0"/>
          <w:kern w:val="2"/>
          <w:sz w:val="32"/>
          <w:szCs w:val="32"/>
          <w:highlight w:val="none"/>
          <w:u w:val="none" w:color="auto"/>
          <w:lang w:val="en-US" w:eastAsia="zh-CN" w:bidi="ar-SA"/>
        </w:rPr>
        <w:t>6</w:t>
      </w:r>
      <w:r>
        <w:rPr>
          <w:rFonts w:hint="eastAsia" w:ascii="仿宋_GB2312" w:hAnsi="Calibri" w:eastAsia="仿宋_GB2312" w:cs="Times New Roman"/>
          <w:color w:val="auto"/>
          <w:spacing w:val="0"/>
          <w:kern w:val="2"/>
          <w:sz w:val="32"/>
          <w:szCs w:val="32"/>
          <w:highlight w:val="none"/>
          <w:u w:val="none" w:color="auto"/>
          <w:lang w:val="en-US" w:eastAsia="zh-CN" w:bidi="ar-SA"/>
        </w:rPr>
        <w:t>年12月31日，本措施由县发改局、茶管委办、县农业农村局、财政局、</w:t>
      </w:r>
      <w:r>
        <w:rPr>
          <w:rFonts w:hint="eastAsia" w:ascii="仿宋_GB2312" w:eastAsia="仿宋_GB2312" w:cs="Times New Roman"/>
          <w:color w:val="auto"/>
          <w:spacing w:val="0"/>
          <w:kern w:val="2"/>
          <w:sz w:val="32"/>
          <w:szCs w:val="32"/>
          <w:highlight w:val="none"/>
          <w:u w:val="none" w:color="auto"/>
          <w:lang w:val="en-US" w:eastAsia="zh-CN" w:bidi="ar-SA"/>
        </w:rPr>
        <w:t>工信商局、</w:t>
      </w:r>
      <w:r>
        <w:rPr>
          <w:rFonts w:hint="eastAsia" w:ascii="仿宋_GB2312" w:hAnsi="Calibri" w:eastAsia="仿宋_GB2312" w:cs="Times New Roman"/>
          <w:color w:val="auto"/>
          <w:spacing w:val="0"/>
          <w:kern w:val="2"/>
          <w:sz w:val="32"/>
          <w:szCs w:val="32"/>
          <w:highlight w:val="none"/>
          <w:u w:val="none" w:color="auto"/>
          <w:lang w:val="en-US" w:eastAsia="zh-CN" w:bidi="ar-SA"/>
        </w:rPr>
        <w:t>茶业发展中心负责解释。</w:t>
      </w:r>
    </w:p>
    <w:sectPr>
      <w:footerReference r:id="rId3" w:type="default"/>
      <w:footerReference r:id="rId4" w:type="even"/>
      <w:pgSz w:w="11906" w:h="16838"/>
      <w:pgMar w:top="1417" w:right="1417" w:bottom="1418" w:left="1531" w:header="851"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A"/>
    <w:family w:val="auto"/>
    <w:pitch w:val="default"/>
    <w:sig w:usb0="00000000" w:usb1="00000000" w:usb2="00000009" w:usb3="00000000" w:csb0="400001FF" w:csb1="FFFF0000"/>
  </w:font>
  <w:font w:name="宋体">
    <w:altName w:val="方正书宋_GBK"/>
    <w:panose1 w:val="02010600030101010101"/>
    <w:charset w:val="88"/>
    <w:family w:val="swiss"/>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rPr>
        <w:rFonts w:hint="eastAsia"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6jDgrMgIAAGEEAAAOAAAAZHJz&#10;L2Uyb0RvYy54bWytVM2O0zAQviPxDpbvNGlZVlXVdFW2KkKq2JUWxNl1nCaS/2S7TcoDwBtw4sKd&#10;5+pz8NlpumjhsAcuztgz/sbfNzOZ33RKkoNwvjG6oONRTonQ3JSN3hX008f1qyklPjBdMmm0KOhR&#10;eHqzePli3tqZmJjayFI4AhDtZ60taB2CnWWZ57VQzI+MFRrOyjjFArZul5WOtUBXMpvk+XXWGlda&#10;Z7jwHqer3knPiO45gKaqGi5Whu+V0KFHdUKyAEq+bqyni/TaqhI83FWVF4HIgoJpSCuSwN7GNVvM&#10;2WznmK0bfn4Ce84TnnBSrNFIeoFascDI3jV/QamGO+NNFUbcqKwnkhQBi3H+RJuHmlmRuEBqby+i&#10;+/8Hyz8c7h1pyoJeUaKZQsFP37+dfvw6/fxKrqI8rfUzRD1YxIXurenQNMO5x2Fk3VVOxS/4EPgh&#10;7vEirugC4fHSdDKd5nBx+IYN8LPH69b58E4YRaJRUIfqJVHZYeNDHzqExGzarBspUwWlJm1Br1+/&#10;ydOFiwfgUiNHJNE/Nlqh23ZnZltTHkHMmb4zvOXrBsk3zId75tAKeDCGJdxhqaRBEnO2KKmN+/Kv&#10;8xiPCsFLSYvWKqjGJFEi32tUDoBhMNxgbAdD79WtQa+OMYSWJxMXXJCDWTmjPmOCljEHXExzZCpo&#10;GMzb0Lc3JpCL5TIF7a1rdnV/AX1nWdjoB8tjmiikt8t9gJhJ4yhQr8pZN3ReqtJ5SmJr/7lPUY9/&#10;hs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LqMOCsyAgAAYQQAAA4AAAAAAAAAAQAgAAAA&#10;NQEAAGRycy9lMm9Eb2MueG1sUEsFBgAAAAAGAAYAWQEAANkFAAAAAA==&#10;">
              <v:fill on="f" focussize="0,0"/>
              <v:stroke on="f" weight="0.5pt"/>
              <v:imagedata o:title=""/>
              <o:lock v:ext="edit" aspectratio="f"/>
              <v:textbox inset="0mm,0mm,0mm,0mm" style="mso-fit-shape-to-text:t;">
                <w:txbxContent>
                  <w:p>
                    <w:pPr>
                      <w:pStyle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sz w:val="28"/>
        <w:szCs w:val="28"/>
      </w:rPr>
    </w:pPr>
    <w:r>
      <w:rPr>
        <w:kern w:val="0"/>
        <w:sz w:val="28"/>
        <w:szCs w:val="28"/>
      </w:rPr>
      <w:fldChar w:fldCharType="begin"/>
    </w:r>
    <w:r>
      <w:rPr>
        <w:kern w:val="0"/>
        <w:sz w:val="28"/>
        <w:szCs w:val="28"/>
      </w:rPr>
      <w:instrText xml:space="preserve"> PAGE </w:instrText>
    </w:r>
    <w:r>
      <w:rPr>
        <w:kern w:val="0"/>
        <w:sz w:val="28"/>
        <w:szCs w:val="28"/>
      </w:rPr>
      <w:fldChar w:fldCharType="separate"/>
    </w:r>
    <w:r>
      <w:rPr>
        <w:kern w:val="0"/>
        <w:sz w:val="28"/>
        <w:szCs w:val="28"/>
      </w:rPr>
      <w:t>- 10 -</w:t>
    </w:r>
    <w:r>
      <w:rPr>
        <w:kern w:val="0"/>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xOWM1ZWM4YmZiOWQ2NGRkNjY2YjljZmJlYjU4MGMifQ=="/>
  </w:docVars>
  <w:rsids>
    <w:rsidRoot w:val="00245899"/>
    <w:rsid w:val="00016D12"/>
    <w:rsid w:val="00040612"/>
    <w:rsid w:val="00061B4E"/>
    <w:rsid w:val="00074059"/>
    <w:rsid w:val="00090D34"/>
    <w:rsid w:val="000A42C5"/>
    <w:rsid w:val="00130B88"/>
    <w:rsid w:val="0013749D"/>
    <w:rsid w:val="00157C02"/>
    <w:rsid w:val="001D0C27"/>
    <w:rsid w:val="001F1225"/>
    <w:rsid w:val="00203D03"/>
    <w:rsid w:val="00245899"/>
    <w:rsid w:val="0024772E"/>
    <w:rsid w:val="002662CC"/>
    <w:rsid w:val="00271790"/>
    <w:rsid w:val="00276DCD"/>
    <w:rsid w:val="0028113E"/>
    <w:rsid w:val="00332264"/>
    <w:rsid w:val="003D37C6"/>
    <w:rsid w:val="00421665"/>
    <w:rsid w:val="00431DE9"/>
    <w:rsid w:val="004360A1"/>
    <w:rsid w:val="00467D64"/>
    <w:rsid w:val="004A2EE1"/>
    <w:rsid w:val="004B1756"/>
    <w:rsid w:val="004B3963"/>
    <w:rsid w:val="004D3E29"/>
    <w:rsid w:val="004E44D4"/>
    <w:rsid w:val="004F2707"/>
    <w:rsid w:val="005176DA"/>
    <w:rsid w:val="00533D34"/>
    <w:rsid w:val="00573198"/>
    <w:rsid w:val="005A0E00"/>
    <w:rsid w:val="005B06E5"/>
    <w:rsid w:val="005C7DA6"/>
    <w:rsid w:val="0060309D"/>
    <w:rsid w:val="006073D4"/>
    <w:rsid w:val="00630D84"/>
    <w:rsid w:val="00666EA2"/>
    <w:rsid w:val="00667357"/>
    <w:rsid w:val="006740F8"/>
    <w:rsid w:val="00677B6C"/>
    <w:rsid w:val="00683D79"/>
    <w:rsid w:val="006C5D57"/>
    <w:rsid w:val="007A6E00"/>
    <w:rsid w:val="007B0D51"/>
    <w:rsid w:val="007B27DA"/>
    <w:rsid w:val="007E1294"/>
    <w:rsid w:val="007E1FB4"/>
    <w:rsid w:val="007E6EA8"/>
    <w:rsid w:val="007F0AB9"/>
    <w:rsid w:val="0081422E"/>
    <w:rsid w:val="008167BE"/>
    <w:rsid w:val="0082060C"/>
    <w:rsid w:val="008D69C7"/>
    <w:rsid w:val="008E3CCD"/>
    <w:rsid w:val="00903B8F"/>
    <w:rsid w:val="009128AD"/>
    <w:rsid w:val="0091606B"/>
    <w:rsid w:val="00930313"/>
    <w:rsid w:val="00931D78"/>
    <w:rsid w:val="00936A2D"/>
    <w:rsid w:val="009D6A62"/>
    <w:rsid w:val="009E0DDE"/>
    <w:rsid w:val="009F0283"/>
    <w:rsid w:val="00A23D58"/>
    <w:rsid w:val="00A95100"/>
    <w:rsid w:val="00AA26D2"/>
    <w:rsid w:val="00AA5FBB"/>
    <w:rsid w:val="00AC392F"/>
    <w:rsid w:val="00AE580C"/>
    <w:rsid w:val="00B30898"/>
    <w:rsid w:val="00B56417"/>
    <w:rsid w:val="00B71E5C"/>
    <w:rsid w:val="00B77635"/>
    <w:rsid w:val="00B83FED"/>
    <w:rsid w:val="00BB5522"/>
    <w:rsid w:val="00BC5B5C"/>
    <w:rsid w:val="00C36998"/>
    <w:rsid w:val="00C91837"/>
    <w:rsid w:val="00CA131F"/>
    <w:rsid w:val="00CA315F"/>
    <w:rsid w:val="00CD5FF4"/>
    <w:rsid w:val="00CE72FE"/>
    <w:rsid w:val="00CF4F06"/>
    <w:rsid w:val="00D003C0"/>
    <w:rsid w:val="00D373C8"/>
    <w:rsid w:val="00D375DC"/>
    <w:rsid w:val="00DA4793"/>
    <w:rsid w:val="00DC085A"/>
    <w:rsid w:val="00DE74DD"/>
    <w:rsid w:val="00DF1C4B"/>
    <w:rsid w:val="00E17C35"/>
    <w:rsid w:val="00E969C9"/>
    <w:rsid w:val="00ED7FE5"/>
    <w:rsid w:val="00F23536"/>
    <w:rsid w:val="00F24D94"/>
    <w:rsid w:val="00F43E39"/>
    <w:rsid w:val="00F75CFD"/>
    <w:rsid w:val="00F859E8"/>
    <w:rsid w:val="00F86638"/>
    <w:rsid w:val="00F967FC"/>
    <w:rsid w:val="00FD45C0"/>
    <w:rsid w:val="07F32A16"/>
    <w:rsid w:val="097C11D2"/>
    <w:rsid w:val="0B71195B"/>
    <w:rsid w:val="0DC3019B"/>
    <w:rsid w:val="0DEC00C5"/>
    <w:rsid w:val="0E2F75DE"/>
    <w:rsid w:val="0F16079E"/>
    <w:rsid w:val="0F6C4862"/>
    <w:rsid w:val="13EA2631"/>
    <w:rsid w:val="14A8633C"/>
    <w:rsid w:val="15DF5540"/>
    <w:rsid w:val="1600597B"/>
    <w:rsid w:val="16576633"/>
    <w:rsid w:val="167F4499"/>
    <w:rsid w:val="178C4AE1"/>
    <w:rsid w:val="18D77C76"/>
    <w:rsid w:val="19491AD7"/>
    <w:rsid w:val="19540841"/>
    <w:rsid w:val="1A1D0205"/>
    <w:rsid w:val="1C066C56"/>
    <w:rsid w:val="1C6925C3"/>
    <w:rsid w:val="1CAF5C30"/>
    <w:rsid w:val="1F624B95"/>
    <w:rsid w:val="206F0966"/>
    <w:rsid w:val="22C34341"/>
    <w:rsid w:val="241F6036"/>
    <w:rsid w:val="24D26773"/>
    <w:rsid w:val="254F7C77"/>
    <w:rsid w:val="256F363A"/>
    <w:rsid w:val="26F408D6"/>
    <w:rsid w:val="2BF56162"/>
    <w:rsid w:val="2DE97352"/>
    <w:rsid w:val="315E1E05"/>
    <w:rsid w:val="35B31421"/>
    <w:rsid w:val="3669226B"/>
    <w:rsid w:val="37A442EA"/>
    <w:rsid w:val="382947EF"/>
    <w:rsid w:val="3A4E41E0"/>
    <w:rsid w:val="3C3A5F3C"/>
    <w:rsid w:val="3CAD1E92"/>
    <w:rsid w:val="3D683D89"/>
    <w:rsid w:val="3DED4B59"/>
    <w:rsid w:val="3F4520B7"/>
    <w:rsid w:val="4004626D"/>
    <w:rsid w:val="40786D56"/>
    <w:rsid w:val="456A0921"/>
    <w:rsid w:val="45F56367"/>
    <w:rsid w:val="46954B5E"/>
    <w:rsid w:val="48015F32"/>
    <w:rsid w:val="4A477482"/>
    <w:rsid w:val="4A7E09CA"/>
    <w:rsid w:val="4DB421C6"/>
    <w:rsid w:val="4EDE3239"/>
    <w:rsid w:val="506F3887"/>
    <w:rsid w:val="50EB4351"/>
    <w:rsid w:val="50FE1D62"/>
    <w:rsid w:val="51E33435"/>
    <w:rsid w:val="53D51D5B"/>
    <w:rsid w:val="55081F04"/>
    <w:rsid w:val="55EE2F8E"/>
    <w:rsid w:val="59A7065D"/>
    <w:rsid w:val="5A7B2108"/>
    <w:rsid w:val="5BD91C3D"/>
    <w:rsid w:val="61AB062B"/>
    <w:rsid w:val="62901AB2"/>
    <w:rsid w:val="64C176BC"/>
    <w:rsid w:val="68F465CF"/>
    <w:rsid w:val="69635B9D"/>
    <w:rsid w:val="6C1811D9"/>
    <w:rsid w:val="6CAC133C"/>
    <w:rsid w:val="6CBA5EF1"/>
    <w:rsid w:val="6DCE29A4"/>
    <w:rsid w:val="6EE60768"/>
    <w:rsid w:val="6F7C0B87"/>
    <w:rsid w:val="741101B6"/>
    <w:rsid w:val="76D03D2E"/>
    <w:rsid w:val="774424D0"/>
    <w:rsid w:val="77A929A3"/>
    <w:rsid w:val="7E7E4950"/>
    <w:rsid w:val="7F9DEDD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b/>
      <w:kern w:val="44"/>
      <w:sz w:val="48"/>
      <w:szCs w:val="48"/>
    </w:rPr>
  </w:style>
  <w:style w:type="paragraph" w:styleId="4">
    <w:name w:val="heading 3"/>
    <w:basedOn w:val="1"/>
    <w:next w:val="1"/>
    <w:link w:val="19"/>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after="120" w:line="480" w:lineRule="auto"/>
      <w:ind w:left="420" w:leftChars="200"/>
    </w:pPr>
  </w:style>
  <w:style w:type="paragraph" w:styleId="5">
    <w:name w:val="Normal Indent"/>
    <w:basedOn w:val="1"/>
    <w:qFormat/>
    <w:uiPriority w:val="0"/>
    <w:pPr>
      <w:widowControl/>
      <w:ind w:firstLine="420" w:firstLineChars="200"/>
      <w:textAlignment w:val="baseline"/>
    </w:pPr>
    <w:rPr>
      <w:rFonts w:eastAsia="仿宋"/>
      <w:sz w:val="32"/>
      <w:szCs w:val="24"/>
    </w:rPr>
  </w:style>
  <w:style w:type="paragraph" w:styleId="6">
    <w:name w:val="index 5"/>
    <w:basedOn w:val="1"/>
    <w:next w:val="1"/>
    <w:qFormat/>
    <w:uiPriority w:val="0"/>
    <w:pPr>
      <w:spacing w:line="357" w:lineRule="atLeast"/>
      <w:ind w:left="1680"/>
      <w:jc w:val="both"/>
      <w:textAlignment w:val="baseline"/>
    </w:pPr>
    <w:rPr>
      <w:rFonts w:ascii="Times New Roman" w:hAnsi="Times New Roman" w:eastAsia="宋体" w:cs="Times New Roman"/>
      <w:color w:val="000000"/>
      <w:sz w:val="21"/>
      <w:u w:val="none" w:color="000000"/>
      <w:lang w:val="en-US" w:eastAsia="zh-CN" w:bidi="ar-SA"/>
    </w:rPr>
  </w:style>
  <w:style w:type="paragraph" w:styleId="7">
    <w:name w:val="annotation text"/>
    <w:basedOn w:val="1"/>
    <w:qFormat/>
    <w:uiPriority w:val="0"/>
    <w:pPr>
      <w:jc w:val="left"/>
    </w:pPr>
  </w:style>
  <w:style w:type="paragraph" w:styleId="8">
    <w:name w:val="Body Text"/>
    <w:basedOn w:val="1"/>
    <w:next w:val="9"/>
    <w:qFormat/>
    <w:uiPriority w:val="0"/>
    <w:pPr>
      <w:spacing w:after="120" w:line="357" w:lineRule="atLeast"/>
      <w:jc w:val="both"/>
      <w:textAlignment w:val="baseline"/>
    </w:pPr>
    <w:rPr>
      <w:rFonts w:ascii="Times New Roman" w:hAnsi="Times New Roman" w:eastAsia="宋体" w:cs="Times New Roman"/>
      <w:color w:val="000000"/>
      <w:sz w:val="21"/>
      <w:u w:val="none" w:color="000000"/>
      <w:lang w:val="en-US" w:eastAsia="zh-CN" w:bidi="ar-SA"/>
    </w:rPr>
  </w:style>
  <w:style w:type="paragraph" w:styleId="9">
    <w:name w:val="footer"/>
    <w:basedOn w:val="1"/>
    <w:next w:val="6"/>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3">
    <w:name w:val="Table Grid"/>
    <w:basedOn w:val="12"/>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5">
    <w:name w:val="NormalIndent"/>
    <w:basedOn w:val="1"/>
    <w:next w:val="16"/>
    <w:qFormat/>
    <w:uiPriority w:val="99"/>
    <w:pPr>
      <w:ind w:firstLine="420" w:firstLineChars="200"/>
    </w:pPr>
  </w:style>
  <w:style w:type="paragraph" w:customStyle="1" w:styleId="16">
    <w:name w:val="Heading4"/>
    <w:basedOn w:val="1"/>
    <w:next w:val="1"/>
    <w:qFormat/>
    <w:uiPriority w:val="99"/>
    <w:pPr>
      <w:spacing w:before="100" w:beforeAutospacing="1" w:after="100" w:afterAutospacing="1"/>
      <w:jc w:val="left"/>
    </w:pPr>
    <w:rPr>
      <w:rFonts w:ascii="宋体" w:hAnsi="宋体"/>
      <w:b/>
      <w:kern w:val="0"/>
      <w:sz w:val="24"/>
      <w:szCs w:val="24"/>
    </w:rPr>
  </w:style>
  <w:style w:type="character" w:customStyle="1" w:styleId="17">
    <w:name w:val="页眉 Char"/>
    <w:basedOn w:val="14"/>
    <w:link w:val="10"/>
    <w:qFormat/>
    <w:uiPriority w:val="0"/>
    <w:rPr>
      <w:rFonts w:ascii="Calibri" w:hAnsi="Calibri"/>
      <w:kern w:val="2"/>
      <w:sz w:val="18"/>
      <w:szCs w:val="18"/>
    </w:rPr>
  </w:style>
  <w:style w:type="character" w:customStyle="1" w:styleId="18">
    <w:name w:val="页脚 Char"/>
    <w:basedOn w:val="14"/>
    <w:link w:val="9"/>
    <w:qFormat/>
    <w:uiPriority w:val="0"/>
    <w:rPr>
      <w:rFonts w:ascii="Calibri" w:hAnsi="Calibri"/>
      <w:kern w:val="2"/>
      <w:sz w:val="18"/>
      <w:szCs w:val="18"/>
    </w:rPr>
  </w:style>
  <w:style w:type="character" w:customStyle="1" w:styleId="19">
    <w:name w:val="标题 3 Char"/>
    <w:basedOn w:val="14"/>
    <w:link w:val="4"/>
    <w:qFormat/>
    <w:uiPriority w:val="9"/>
    <w:rPr>
      <w:rFonts w:ascii="宋体" w:hAnsi="宋体" w:cs="宋体"/>
      <w:b/>
      <w:bCs/>
      <w:sz w:val="27"/>
      <w:szCs w:val="27"/>
    </w:rPr>
  </w:style>
  <w:style w:type="paragraph" w:customStyle="1" w:styleId="20">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10329</Words>
  <Characters>10532</Characters>
  <Lines>25</Lines>
  <Paragraphs>7</Paragraphs>
  <TotalTime>42</TotalTime>
  <ScaleCrop>false</ScaleCrop>
  <LinksUpToDate>false</LinksUpToDate>
  <CharactersWithSpaces>10532</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2023-09-15T14:37:00Z</dcterms:created>
  <dc:creator>admin</dc:creator>
  <cp:lastModifiedBy>casic</cp:lastModifiedBy>
  <cp:lastPrinted>2024-01-09T15:48:00Z</cp:lastPrinted>
  <dcterms:modified xsi:type="dcterms:W3CDTF">2024-01-23T16:37:16Z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ABE4EF2C09514B1D81F2CD1D09FF9E19_13</vt:lpwstr>
  </property>
</Properties>
</file>