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fonts/font6.odttf" ContentType="application/vnd.openxmlformats-officedocument.obfuscatedFont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adjustRightInd w:val="0"/>
        <w:snapToGrid w:val="0"/>
        <w:spacing w:line="1000" w:lineRule="exact"/>
        <w:jc w:val="distribute"/>
        <w:rPr>
          <w:rFonts w:hint="eastAsia" w:ascii="方正小标宋简体" w:hAnsi="Calibri" w:eastAsia="方正小标宋简体" w:cs="Times New Roman"/>
          <w:color w:val="FF0000"/>
          <w:spacing w:val="-20"/>
          <w:w w:val="80"/>
          <w:sz w:val="74"/>
          <w:szCs w:val="74"/>
        </w:rPr>
      </w:pPr>
    </w:p>
    <w:tbl>
      <w:tblPr>
        <w:tblStyle w:val="7"/>
        <w:tblW w:w="11019" w:type="dxa"/>
        <w:tblInd w:w="135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665"/>
        <w:gridCol w:w="1677"/>
        <w:gridCol w:w="1677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27" w:hRule="atLeast"/>
        </w:trPr>
        <w:tc>
          <w:tcPr>
            <w:tcW w:w="7665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adjustRightInd w:val="0"/>
              <w:snapToGrid w:val="0"/>
              <w:spacing w:line="1000" w:lineRule="exact"/>
              <w:jc w:val="distribute"/>
              <w:rPr>
                <w:rFonts w:ascii="方正小标宋简体" w:hAnsi="Calibri" w:eastAsia="方正小标宋简体" w:cs="Times New Roman"/>
                <w:color w:val="FF0000"/>
                <w:spacing w:val="-20"/>
                <w:w w:val="100"/>
                <w:sz w:val="74"/>
                <w:szCs w:val="74"/>
              </w:rPr>
            </w:pPr>
            <w:r>
              <w:rPr>
                <w:rFonts w:hint="eastAsia" w:ascii="方正小标宋简体" w:hAnsi="Calibri" w:eastAsia="方正小标宋简体" w:cs="Times New Roman"/>
                <w:color w:val="FF0000"/>
                <w:spacing w:val="-20"/>
                <w:w w:val="100"/>
                <w:sz w:val="74"/>
                <w:szCs w:val="74"/>
              </w:rPr>
              <w:t>安溪县卫生健康局</w:t>
            </w:r>
          </w:p>
        </w:tc>
        <w:tc>
          <w:tcPr>
            <w:tcW w:w="1677" w:type="dxa"/>
            <w:vMerge w:val="restart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 w:eastAsia="华文中宋" w:cs="Times New Roman"/>
                <w:color w:val="FF0000"/>
                <w:spacing w:val="-20"/>
                <w:w w:val="100"/>
                <w:sz w:val="74"/>
                <w:szCs w:val="74"/>
              </w:rPr>
            </w:pPr>
            <w:r>
              <w:rPr>
                <w:rFonts w:hint="eastAsia" w:ascii="方正小标宋简体" w:hAnsi="Calibri" w:eastAsia="方正小标宋简体" w:cs="Times New Roman"/>
                <w:color w:val="FF0000"/>
                <w:spacing w:val="-20"/>
                <w:w w:val="100"/>
                <w:sz w:val="74"/>
                <w:szCs w:val="74"/>
              </w:rPr>
              <w:t>文件</w:t>
            </w:r>
          </w:p>
        </w:tc>
        <w:tc>
          <w:tcPr>
            <w:tcW w:w="167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 w:eastAsia="华文中宋" w:cs="Times New Roman"/>
                <w:b/>
                <w:bCs/>
                <w:color w:val="FF0000"/>
                <w:spacing w:val="-20"/>
                <w:w w:val="100"/>
                <w:sz w:val="74"/>
                <w:szCs w:val="7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22" w:hRule="atLeast"/>
        </w:trPr>
        <w:tc>
          <w:tcPr>
            <w:tcW w:w="7665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adjustRightInd w:val="0"/>
              <w:snapToGrid w:val="0"/>
              <w:spacing w:line="1000" w:lineRule="exact"/>
              <w:jc w:val="distribute"/>
              <w:rPr>
                <w:rFonts w:ascii="方正小标宋简体" w:hAnsi="Calibri" w:eastAsia="方正小标宋简体" w:cs="Times New Roman"/>
                <w:color w:val="FF0000"/>
                <w:w w:val="100"/>
                <w:sz w:val="74"/>
                <w:szCs w:val="74"/>
              </w:rPr>
            </w:pPr>
            <w:r>
              <w:rPr>
                <w:rFonts w:hint="eastAsia" w:ascii="方正小标宋简体" w:hAnsi="Calibri" w:eastAsia="方正小标宋简体" w:cs="Times New Roman"/>
                <w:color w:val="FF0000"/>
                <w:w w:val="100"/>
                <w:sz w:val="74"/>
                <w:szCs w:val="74"/>
              </w:rPr>
              <w:t>安溪县</w:t>
            </w:r>
            <w:r>
              <w:rPr>
                <w:rFonts w:hint="eastAsia" w:ascii="方正小标宋简体" w:hAnsi="Calibri" w:eastAsia="方正小标宋简体" w:cs="Times New Roman"/>
                <w:color w:val="FF0000"/>
                <w:w w:val="100"/>
                <w:sz w:val="74"/>
                <w:szCs w:val="74"/>
                <w:lang w:eastAsia="zh-CN"/>
              </w:rPr>
              <w:t>财政</w:t>
            </w:r>
            <w:r>
              <w:rPr>
                <w:rFonts w:hint="eastAsia" w:ascii="方正小标宋简体" w:hAnsi="Calibri" w:eastAsia="方正小标宋简体" w:cs="Times New Roman"/>
                <w:color w:val="FF0000"/>
                <w:w w:val="100"/>
                <w:sz w:val="74"/>
                <w:szCs w:val="74"/>
              </w:rPr>
              <w:t>局</w:t>
            </w:r>
          </w:p>
        </w:tc>
        <w:tc>
          <w:tcPr>
            <w:tcW w:w="1677" w:type="dxa"/>
            <w:vMerge w:val="continue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left"/>
              <w:rPr>
                <w:rFonts w:ascii="Times New Roman" w:hAnsi="Times New Roman" w:eastAsia="华文中宋" w:cs="Times New Roman"/>
                <w:color w:val="FF0000"/>
                <w:spacing w:val="-20"/>
                <w:w w:val="80"/>
                <w:sz w:val="74"/>
                <w:szCs w:val="74"/>
              </w:rPr>
            </w:pPr>
          </w:p>
        </w:tc>
        <w:tc>
          <w:tcPr>
            <w:tcW w:w="167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adjustRightInd w:val="0"/>
              <w:snapToGrid w:val="0"/>
              <w:spacing w:line="560" w:lineRule="exact"/>
              <w:jc w:val="center"/>
              <w:rPr>
                <w:rFonts w:ascii="Times New Roman" w:hAnsi="Times New Roman" w:eastAsia="华文中宋" w:cs="Times New Roman"/>
                <w:b/>
                <w:bCs/>
                <w:color w:val="FF0000"/>
                <w:w w:val="80"/>
                <w:sz w:val="74"/>
                <w:szCs w:val="74"/>
              </w:rPr>
            </w:pPr>
          </w:p>
        </w:tc>
      </w:tr>
    </w:tbl>
    <w:p>
      <w:pPr>
        <w:spacing w:line="720" w:lineRule="exact"/>
        <w:jc w:val="both"/>
        <w:rPr>
          <w:rFonts w:hint="eastAsia" w:ascii="仿宋_GB2312" w:hAnsi="宋体" w:eastAsia="宋体" w:cs="Times New Roman"/>
          <w:bCs/>
        </w:rPr>
      </w:pPr>
      <w:bookmarkStart w:id="0" w:name="OLE_LINK3"/>
    </w:p>
    <w:p>
      <w:pPr>
        <w:spacing w:line="720" w:lineRule="exact"/>
        <w:jc w:val="center"/>
        <w:rPr>
          <w:rFonts w:hint="eastAsia" w:ascii="仿宋_GB2312" w:hAnsi="仿宋_GB2312" w:eastAsia="仿宋_GB2312" w:cs="仿宋_GB2312"/>
          <w:bCs/>
          <w:sz w:val="36"/>
          <w:szCs w:val="36"/>
        </w:rPr>
      </w:pPr>
      <w:bookmarkStart w:id="1" w:name="OLE_LINK2"/>
      <w:r>
        <w:rPr>
          <w:rFonts w:hint="eastAsia" w:ascii="仿宋_GB2312" w:hAnsi="仿宋_GB2312" w:eastAsia="仿宋_GB2312" w:cs="仿宋_GB2312"/>
          <w:bCs/>
          <w:sz w:val="36"/>
          <w:szCs w:val="36"/>
        </w:rPr>
        <w:t>安</w:t>
      </w:r>
      <w:r>
        <w:rPr>
          <w:rFonts w:hint="eastAsia" w:ascii="仿宋_GB2312" w:hAnsi="仿宋_GB2312" w:eastAsia="仿宋_GB2312" w:cs="仿宋_GB2312"/>
          <w:bCs/>
          <w:sz w:val="36"/>
          <w:szCs w:val="36"/>
          <w:lang w:eastAsia="zh-CN"/>
        </w:rPr>
        <w:t>卫</w:t>
      </w:r>
      <w:bookmarkStart w:id="2" w:name="OLE_LINK1"/>
      <w:r>
        <w:rPr>
          <w:rFonts w:hint="eastAsia" w:ascii="仿宋_GB2312" w:hAnsi="仿宋_GB2312" w:eastAsia="仿宋_GB2312" w:cs="仿宋_GB2312"/>
          <w:bCs/>
          <w:sz w:val="36"/>
          <w:szCs w:val="36"/>
          <w:lang w:eastAsia="zh-CN"/>
        </w:rPr>
        <w:t>发</w:t>
      </w:r>
      <w:r>
        <w:rPr>
          <w:rFonts w:hint="eastAsia" w:ascii="仿宋_GB2312" w:hAnsi="仿宋_GB2312" w:eastAsia="仿宋_GB2312" w:cs="仿宋_GB2312"/>
          <w:bCs/>
          <w:sz w:val="36"/>
          <w:szCs w:val="36"/>
        </w:rPr>
        <w:t>〔202</w:t>
      </w:r>
      <w:r>
        <w:rPr>
          <w:rFonts w:hint="eastAsia" w:ascii="仿宋_GB2312" w:hAnsi="仿宋_GB2312" w:eastAsia="仿宋_GB2312" w:cs="仿宋_GB2312"/>
          <w:bCs/>
          <w:sz w:val="36"/>
          <w:szCs w:val="36"/>
          <w:lang w:val="en-US" w:eastAsia="zh-CN"/>
        </w:rPr>
        <w:t>5</w:t>
      </w:r>
      <w:r>
        <w:rPr>
          <w:rFonts w:hint="eastAsia" w:ascii="仿宋_GB2312" w:hAnsi="仿宋_GB2312" w:eastAsia="仿宋_GB2312" w:cs="仿宋_GB2312"/>
          <w:bCs/>
          <w:sz w:val="36"/>
          <w:szCs w:val="36"/>
        </w:rPr>
        <w:t>〕</w:t>
      </w:r>
      <w:r>
        <w:rPr>
          <w:rFonts w:hint="eastAsia" w:ascii="仿宋_GB2312" w:hAnsi="仿宋_GB2312" w:eastAsia="仿宋_GB2312" w:cs="仿宋_GB2312"/>
          <w:bCs/>
          <w:sz w:val="36"/>
          <w:szCs w:val="36"/>
          <w:lang w:val="en-US" w:eastAsia="zh-CN"/>
        </w:rPr>
        <w:t>56</w:t>
      </w:r>
      <w:r>
        <w:rPr>
          <w:rFonts w:hint="eastAsia" w:ascii="仿宋_GB2312" w:hAnsi="仿宋_GB2312" w:eastAsia="仿宋_GB2312" w:cs="仿宋_GB2312"/>
          <w:bCs/>
          <w:sz w:val="36"/>
          <w:szCs w:val="36"/>
        </w:rPr>
        <w:t>号</w:t>
      </w:r>
      <w:bookmarkEnd w:id="1"/>
    </w:p>
    <w:p>
      <w:pPr>
        <w:jc w:val="center"/>
        <w:rPr>
          <w:rFonts w:hint="eastAsia" w:ascii="宋体" w:hAnsi="宋体" w:eastAsia="宋体" w:cs="Times New Roman"/>
          <w:b/>
          <w:sz w:val="44"/>
          <w:szCs w:val="44"/>
        </w:rPr>
      </w:pPr>
      <w:r>
        <w:rPr>
          <w:rFonts w:hint="eastAsia" w:ascii="Calibri" w:hAnsi="Calibri" w:eastAsia="宋体" w:cs="Times New Roman"/>
          <w:sz w:val="21"/>
          <w:szCs w:val="24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-222250</wp:posOffset>
                </wp:positionH>
                <wp:positionV relativeFrom="paragraph">
                  <wp:posOffset>108585</wp:posOffset>
                </wp:positionV>
                <wp:extent cx="6000750" cy="0"/>
                <wp:effectExtent l="0" t="14605" r="0" b="23495"/>
                <wp:wrapNone/>
                <wp:docPr id="1" name="直接连接符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000750" cy="0"/>
                        </a:xfrm>
                        <a:prstGeom prst="line">
                          <a:avLst/>
                        </a:prstGeom>
                        <a:ln w="28575" cap="flat" cmpd="sng">
                          <a:solidFill>
                            <a:srgbClr val="FF0000"/>
                          </a:solidFill>
                          <a:prstDash val="solid"/>
                          <a:headEnd type="none" w="med" len="med"/>
                          <a:tailEnd type="none" w="med" len="med"/>
                        </a:ln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margin-left:-17.5pt;margin-top:8.55pt;height:0pt;width:472.5pt;z-index:251659264;mso-width-relative:page;mso-height-relative:page;" filled="f" stroked="t" coordsize="21600,21600" o:gfxdata="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">
                <v:fill on="f" focussize="0,0"/>
                <v:stroke weight="2.25pt" color="#FF0000" joinstyle="round"/>
                <v:imagedata o:title=""/>
                <o:lock v:ext="edit" aspectratio="f"/>
              </v:line>
            </w:pict>
          </mc:Fallback>
        </mc:AlternateContent>
      </w:r>
      <w:bookmarkEnd w:id="0"/>
      <w:bookmarkEnd w:id="2"/>
    </w:p>
    <w:p>
      <w:pPr>
        <w:spacing w:line="560" w:lineRule="exact"/>
        <w:jc w:val="center"/>
        <w:rPr>
          <w:rFonts w:hint="eastAsia" w:ascii="Calibri" w:hAnsi="Calibri" w:eastAsia="方正小标宋简体" w:cs="Times New Roman"/>
          <w:spacing w:val="-6"/>
          <w:sz w:val="44"/>
          <w:szCs w:val="44"/>
        </w:rPr>
      </w:pP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62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color w:val="000000"/>
          <w:kern w:val="0"/>
          <w:sz w:val="44"/>
          <w:szCs w:val="44"/>
          <w:lang w:val="en-US" w:eastAsia="zh-CN" w:bidi="ar"/>
        </w:rPr>
      </w:pPr>
      <w:r>
        <w:rPr>
          <w:rFonts w:hint="eastAsia" w:ascii="方正小标宋简体" w:hAnsi="方正小标宋简体" w:eastAsia="方正小标宋简体" w:cs="方正小标宋简体"/>
          <w:color w:val="000000"/>
          <w:kern w:val="0"/>
          <w:sz w:val="44"/>
          <w:szCs w:val="44"/>
          <w:lang w:val="en-US" w:eastAsia="zh-CN" w:bidi="ar"/>
        </w:rPr>
        <w:t>安溪县卫生健康局  安溪县财政局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62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color w:val="000000"/>
          <w:kern w:val="0"/>
          <w:sz w:val="44"/>
          <w:szCs w:val="44"/>
          <w:lang w:val="en-US" w:eastAsia="zh-CN" w:bidi="ar"/>
        </w:rPr>
      </w:pPr>
      <w:r>
        <w:rPr>
          <w:rFonts w:hint="eastAsia" w:ascii="方正小标宋简体" w:hAnsi="方正小标宋简体" w:eastAsia="方正小标宋简体" w:cs="方正小标宋简体"/>
          <w:color w:val="000000"/>
          <w:kern w:val="0"/>
          <w:sz w:val="44"/>
          <w:szCs w:val="44"/>
          <w:lang w:val="en-US" w:eastAsia="zh-CN" w:bidi="ar"/>
        </w:rPr>
        <w:t>关于印发安溪县“泉享托”普惠托育服务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62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color w:val="000000"/>
          <w:kern w:val="0"/>
          <w:sz w:val="44"/>
          <w:szCs w:val="44"/>
          <w:lang w:val="en-US" w:eastAsia="zh-CN" w:bidi="ar"/>
        </w:rPr>
      </w:pPr>
      <w:r>
        <w:rPr>
          <w:rFonts w:hint="eastAsia" w:ascii="方正小标宋简体" w:hAnsi="方正小标宋简体" w:eastAsia="方正小标宋简体" w:cs="方正小标宋简体"/>
          <w:color w:val="000000"/>
          <w:kern w:val="0"/>
          <w:sz w:val="44"/>
          <w:szCs w:val="44"/>
          <w:lang w:val="en-US" w:eastAsia="zh-CN" w:bidi="ar"/>
        </w:rPr>
        <w:t>发展示范项目实施方案的通知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240" w:lineRule="auto"/>
        <w:jc w:val="center"/>
        <w:textAlignment w:val="auto"/>
        <w:rPr>
          <w:rFonts w:hint="default" w:ascii="方正小标宋简体" w:hAnsi="方正小标宋简体" w:eastAsia="方正小标宋简体" w:cs="方正小标宋简体"/>
          <w:color w:val="000000"/>
          <w:kern w:val="0"/>
          <w:sz w:val="18"/>
          <w:szCs w:val="18"/>
          <w:lang w:val="en-US" w:eastAsia="zh-CN" w:bidi="ar"/>
        </w:rPr>
      </w:pP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 w:val="0"/>
        <w:spacing w:line="500" w:lineRule="exact"/>
        <w:textAlignment w:val="auto"/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val="en-US" w:eastAsia="zh-CN" w:bidi="ar"/>
        </w:rPr>
      </w:pP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val="en-US" w:eastAsia="zh-CN" w:bidi="ar"/>
        </w:rPr>
        <w:t>各乡镇人民政府：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 w:val="0"/>
        <w:spacing w:line="50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val="en-US" w:eastAsia="zh-CN" w:bidi="ar"/>
        </w:rPr>
      </w:pP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val="en-US" w:eastAsia="zh-CN" w:bidi="ar"/>
        </w:rPr>
        <w:t>现将《</w:t>
      </w:r>
      <w:r>
        <w:rPr>
          <w:rFonts w:hint="default" w:ascii="仿宋_GB2312" w:hAnsi="仿宋_GB2312" w:eastAsia="仿宋_GB2312" w:cs="仿宋_GB2312"/>
          <w:color w:val="000000"/>
          <w:kern w:val="0"/>
          <w:sz w:val="32"/>
          <w:szCs w:val="32"/>
          <w:lang w:val="en-US" w:eastAsia="zh-CN" w:bidi="ar"/>
        </w:rPr>
        <w:t>安溪县“泉享托”普惠托育服务发展示范项目实施</w:t>
      </w: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val="en-US" w:eastAsia="zh-CN" w:bidi="ar"/>
        </w:rPr>
        <w:t>方案》印发给你们，请认真做好组织落实。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 w:val="0"/>
        <w:spacing w:line="50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val="en-US" w:eastAsia="zh-CN" w:bidi="ar"/>
        </w:rPr>
      </w:pP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 w:val="0"/>
        <w:spacing w:line="50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val="en-US" w:eastAsia="zh-CN" w:bidi="ar"/>
        </w:rPr>
      </w:pP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 w:val="0"/>
        <w:spacing w:line="50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val="en-US" w:eastAsia="zh-CN" w:bidi="ar"/>
        </w:rPr>
      </w:pP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val="en-US" w:eastAsia="zh-CN" w:bidi="ar"/>
        </w:rPr>
        <w:t>安溪县卫生健康局                安溪县财政局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 w:val="0"/>
        <w:spacing w:line="50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val="en-US" w:eastAsia="zh-CN" w:bidi="ar"/>
        </w:rPr>
      </w:pP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val="en-US" w:eastAsia="zh-CN" w:bidi="ar"/>
        </w:rPr>
        <w:t xml:space="preserve">                              2025年4月24日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 w:val="0"/>
        <w:spacing w:line="50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val="en-US" w:eastAsia="zh-CN" w:bidi="ar"/>
        </w:rPr>
      </w:pP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val="en-US" w:eastAsia="zh-CN" w:bidi="ar"/>
        </w:rPr>
      </w:pP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val="en-US" w:eastAsia="zh-CN" w:bidi="ar"/>
        </w:rPr>
        <w:t>（此件主动公开）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66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color w:val="000000"/>
          <w:kern w:val="0"/>
          <w:sz w:val="44"/>
          <w:szCs w:val="44"/>
          <w:lang w:val="en-US" w:eastAsia="zh-CN" w:bidi="ar"/>
        </w:rPr>
        <w:sectPr>
          <w:pgSz w:w="11906" w:h="16838"/>
          <w:pgMar w:top="1871" w:right="1474" w:bottom="1928" w:left="1587" w:header="851" w:footer="992" w:gutter="0"/>
          <w:pgNumType w:fmt="decimal"/>
          <w:cols w:space="0" w:num="1"/>
          <w:docGrid w:type="lines" w:linePitch="312" w:charSpace="0"/>
        </w:sectPr>
      </w:pP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66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color w:val="000000"/>
          <w:kern w:val="0"/>
          <w:sz w:val="44"/>
          <w:szCs w:val="44"/>
          <w:lang w:val="en-US" w:eastAsia="zh-CN" w:bidi="ar"/>
        </w:rPr>
      </w:pPr>
      <w:r>
        <w:rPr>
          <w:rFonts w:hint="eastAsia" w:ascii="方正小标宋简体" w:hAnsi="方正小标宋简体" w:eastAsia="方正小标宋简体" w:cs="方正小标宋简体"/>
          <w:color w:val="000000"/>
          <w:kern w:val="0"/>
          <w:sz w:val="44"/>
          <w:szCs w:val="44"/>
          <w:lang w:val="en-US" w:eastAsia="zh-CN" w:bidi="ar"/>
        </w:rPr>
        <w:t>安溪县“泉享托”普惠托育服务发展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660" w:lineRule="exact"/>
        <w:jc w:val="center"/>
        <w:textAlignment w:val="auto"/>
        <w:rPr>
          <w:rFonts w:hint="default" w:ascii="方正小标宋简体" w:hAnsi="方正小标宋简体" w:eastAsia="方正小标宋简体" w:cs="方正小标宋简体"/>
          <w:sz w:val="44"/>
          <w:szCs w:val="44"/>
          <w:lang w:val="en-US"/>
        </w:rPr>
      </w:pPr>
      <w:r>
        <w:rPr>
          <w:rFonts w:hint="eastAsia" w:ascii="方正小标宋简体" w:hAnsi="方正小标宋简体" w:eastAsia="方正小标宋简体" w:cs="方正小标宋简体"/>
          <w:color w:val="000000"/>
          <w:kern w:val="0"/>
          <w:sz w:val="44"/>
          <w:szCs w:val="44"/>
          <w:lang w:val="en-US" w:eastAsia="zh-CN" w:bidi="ar"/>
        </w:rPr>
        <w:t>示范项目实施方案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val="en-US" w:eastAsia="zh-CN" w:bidi="ar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60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val="en-US" w:eastAsia="zh-CN" w:bidi="ar"/>
        </w:rPr>
      </w:pP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val="en-US" w:eastAsia="zh-CN" w:bidi="ar"/>
        </w:rPr>
        <w:t>根据《泉州市卫生健康委员会 泉州市财政局关于印发泉州市“泉享托”普惠托育服务发展示范项目实施方案的通知》（泉卫规〔2024〕2号）等文件精神,为充分发挥政府的引导作用，推动托育服务可持续高质量发展,制定本实施方案。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600" w:lineRule="exact"/>
        <w:ind w:firstLine="640" w:firstLineChars="200"/>
        <w:textAlignment w:val="auto"/>
        <w:rPr>
          <w:rFonts w:hint="eastAsia" w:ascii="黑体" w:hAnsi="黑体" w:eastAsia="黑体" w:cs="黑体"/>
          <w:color w:val="000000"/>
          <w:kern w:val="0"/>
          <w:sz w:val="32"/>
          <w:szCs w:val="32"/>
          <w:lang w:val="en-US" w:eastAsia="zh-CN" w:bidi="ar"/>
        </w:rPr>
      </w:pPr>
      <w:r>
        <w:rPr>
          <w:rFonts w:hint="eastAsia" w:ascii="黑体" w:hAnsi="黑体" w:eastAsia="黑体" w:cs="黑体"/>
          <w:color w:val="000000"/>
          <w:kern w:val="0"/>
          <w:sz w:val="32"/>
          <w:szCs w:val="32"/>
          <w:lang w:val="en-US" w:eastAsia="zh-CN" w:bidi="ar"/>
        </w:rPr>
        <w:t>一、总体目的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60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val="en-US" w:eastAsia="zh-CN" w:bidi="ar"/>
        </w:rPr>
      </w:pP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val="en-US" w:eastAsia="zh-CN" w:bidi="ar"/>
        </w:rPr>
        <w:t>帮助托育机构降本增效，提高托育服务质量，减轻家庭育儿负担，促进婴幼儿健康成长。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600" w:lineRule="exact"/>
        <w:ind w:firstLine="640" w:firstLineChars="200"/>
        <w:textAlignment w:val="auto"/>
        <w:rPr>
          <w:rFonts w:hint="eastAsia" w:ascii="黑体" w:hAnsi="黑体" w:eastAsia="黑体" w:cs="黑体"/>
          <w:color w:val="000000"/>
          <w:kern w:val="0"/>
          <w:sz w:val="32"/>
          <w:szCs w:val="32"/>
          <w:lang w:val="en-US" w:eastAsia="zh-CN" w:bidi="ar"/>
        </w:rPr>
      </w:pPr>
      <w:r>
        <w:rPr>
          <w:rFonts w:hint="eastAsia" w:ascii="黑体" w:hAnsi="黑体" w:eastAsia="黑体" w:cs="黑体"/>
          <w:color w:val="000000"/>
          <w:kern w:val="0"/>
          <w:sz w:val="32"/>
          <w:szCs w:val="32"/>
          <w:lang w:val="en-US" w:eastAsia="zh-CN" w:bidi="ar"/>
        </w:rPr>
        <w:t>二、重点任务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600" w:lineRule="exact"/>
        <w:ind w:firstLine="596" w:firstLineChars="200"/>
        <w:textAlignment w:val="auto"/>
        <w:rPr>
          <w:rFonts w:hint="eastAsia" w:ascii="楷体_GB2312" w:hAnsi="楷体_GB2312" w:eastAsia="楷体_GB2312" w:cs="楷体_GB2312"/>
          <w:color w:val="000000"/>
          <w:spacing w:val="-11"/>
          <w:kern w:val="0"/>
          <w:sz w:val="32"/>
          <w:szCs w:val="32"/>
          <w:lang w:val="en-US" w:eastAsia="zh-CN" w:bidi="ar"/>
        </w:rPr>
      </w:pPr>
      <w:r>
        <w:rPr>
          <w:rFonts w:hint="eastAsia" w:ascii="楷体_GB2312" w:hAnsi="楷体_GB2312" w:eastAsia="楷体_GB2312" w:cs="楷体_GB2312"/>
          <w:color w:val="000000"/>
          <w:spacing w:val="-11"/>
          <w:kern w:val="0"/>
          <w:sz w:val="32"/>
          <w:szCs w:val="32"/>
          <w:lang w:val="en-US" w:eastAsia="zh-CN" w:bidi="ar"/>
        </w:rPr>
        <w:t>（一）实施“托位建设提升工程”，着力解决“入托难”问题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600" w:lineRule="exact"/>
        <w:ind w:firstLine="643" w:firstLineChars="200"/>
        <w:textAlignment w:val="auto"/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val="en-US" w:eastAsia="zh-CN" w:bidi="ar"/>
        </w:rPr>
      </w:pPr>
      <w:r>
        <w:rPr>
          <w:rFonts w:hint="eastAsia" w:ascii="仿宋_GB2312" w:hAnsi="仿宋_GB2312" w:eastAsia="仿宋_GB2312" w:cs="仿宋_GB2312"/>
          <w:b/>
          <w:bCs/>
          <w:color w:val="000000"/>
          <w:kern w:val="0"/>
          <w:sz w:val="32"/>
          <w:szCs w:val="32"/>
          <w:lang w:val="en-US" w:eastAsia="zh-CN" w:bidi="ar"/>
        </w:rPr>
        <w:t>1.大力发展公办托育机构。</w:t>
      </w: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val="en-US" w:eastAsia="zh-CN" w:bidi="ar"/>
        </w:rPr>
        <w:t>争取建设县级托育综合服务中心，形成建设样板，突出示范先行，为辖区托育机构提供运营管理和技术指导服务，2025年底前力争建成不少于100个托位。鼓励盘活利用闲置场地，在社区综合服务中心、便民服务中心等嵌入社区托育点，为辖区婴幼儿家庭提供全日托、半日托、计时托、临时托等服务。引导城乡社区强化统筹，在“党建+”邻里中心设置托育区域，提供计时托、临时托等服务，2025年底前力争建成不少于9个“党建+”邻里中心和社区托育点。对于“党建+”邻里中心托育点和社区托育点新增托位，根据托育点建设评估情况，给予不高于1万元/托位奖补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600" w:lineRule="exact"/>
        <w:ind w:firstLine="643" w:firstLineChars="200"/>
        <w:textAlignment w:val="auto"/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val="en-US" w:eastAsia="zh-CN" w:bidi="ar"/>
        </w:rPr>
      </w:pPr>
      <w:r>
        <w:rPr>
          <w:rFonts w:hint="eastAsia" w:ascii="仿宋_GB2312" w:hAnsi="仿宋_GB2312" w:eastAsia="仿宋_GB2312" w:cs="仿宋_GB2312"/>
          <w:b/>
          <w:bCs/>
          <w:color w:val="000000"/>
          <w:kern w:val="0"/>
          <w:sz w:val="32"/>
          <w:szCs w:val="32"/>
          <w:lang w:val="en-US" w:eastAsia="zh-CN" w:bidi="ar"/>
        </w:rPr>
        <w:t>2.支持改扩建一批民办托育机构。</w:t>
      </w: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val="en-US" w:eastAsia="zh-CN" w:bidi="ar"/>
        </w:rPr>
        <w:t>支持社会资本或民营企业等各类主体兴办普惠托育机构，落实其用水用电按照居民生活类价格执行的政策。引导、鼓励和支持民办托育机构按照国家卫健委印发的托育机构设置标准（试行）和托育机构管理规范（试行）进行升级改造，配置婴幼儿照护服务设施、设备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600" w:lineRule="exact"/>
        <w:ind w:firstLine="643" w:firstLineChars="200"/>
        <w:textAlignment w:val="auto"/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val="en-US" w:eastAsia="zh-CN" w:bidi="ar"/>
        </w:rPr>
      </w:pPr>
      <w:r>
        <w:rPr>
          <w:rFonts w:hint="eastAsia" w:ascii="仿宋_GB2312" w:hAnsi="仿宋_GB2312" w:eastAsia="仿宋_GB2312" w:cs="仿宋_GB2312"/>
          <w:b/>
          <w:bCs/>
          <w:color w:val="000000"/>
          <w:kern w:val="0"/>
          <w:sz w:val="32"/>
          <w:szCs w:val="32"/>
          <w:lang w:val="en-US" w:eastAsia="zh-CN" w:bidi="ar"/>
        </w:rPr>
        <w:t>3.支持用人单位提供多样化托育服务。</w:t>
      </w: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val="en-US" w:eastAsia="zh-CN" w:bidi="ar"/>
        </w:rPr>
        <w:t>鼓励支持国有企事业单位提供托育服务，积极探索产业园区嵌入模式、用人单位+第三方运营模式等多种模式，助力解决职工子女入托难题。对国有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600" w:lineRule="exact"/>
        <w:textAlignment w:val="auto"/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val="en-US" w:eastAsia="zh-CN" w:bidi="ar"/>
        </w:rPr>
      </w:pP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val="en-US" w:eastAsia="zh-CN" w:bidi="ar"/>
        </w:rPr>
        <w:t>企事业单位新增托位，给予不高于3000元/托位奖补。鼓励公立医院利用院区场所为职工提供免费或普惠性托育服务，支持公立医院举办托育园（点），推进医育结合。根据医疗机构实际建成总托位数，从中央财政支持资金划出既定部分，给予最高不超过2万元/托位的一次性奖补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600" w:lineRule="exact"/>
        <w:ind w:firstLine="643" w:firstLineChars="200"/>
        <w:textAlignment w:val="auto"/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val="en-US" w:eastAsia="zh-CN" w:bidi="ar"/>
        </w:rPr>
      </w:pPr>
      <w:r>
        <w:rPr>
          <w:rFonts w:hint="eastAsia" w:ascii="仿宋_GB2312" w:hAnsi="仿宋_GB2312" w:eastAsia="仿宋_GB2312" w:cs="仿宋_GB2312"/>
          <w:b/>
          <w:bCs/>
          <w:color w:val="000000"/>
          <w:kern w:val="0"/>
          <w:sz w:val="32"/>
          <w:szCs w:val="32"/>
          <w:lang w:val="en-US" w:eastAsia="zh-CN" w:bidi="ar"/>
        </w:rPr>
        <w:t>4.大力推动幼托一体化发展。</w:t>
      </w: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val="en-US" w:eastAsia="zh-CN" w:bidi="ar"/>
        </w:rPr>
        <w:t>支持有条件的公办幼儿园开设托班，提供2至3岁托育服务，积极探索开办乳儿班、托小班。鼓励支持有条件的民办幼儿园发掘潜力，开办托育机构；鼓励支持生源不足的幼儿园盘活闲置场地等资源，转型办托育机构。对新增备案并实际</w:t>
      </w:r>
      <w:bookmarkStart w:id="8" w:name="_GoBack"/>
      <w:bookmarkEnd w:id="8"/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val="en-US" w:eastAsia="zh-CN" w:bidi="ar"/>
        </w:rPr>
        <w:t>运营的幼儿园进行补助，每家建设托位原则上不超过2个托大班，按每个托位给予不高于1万元的奖补，对实际新增托位进行评估，根据实际补助标准和新增托位量核补。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600" w:lineRule="exact"/>
        <w:ind w:firstLine="596" w:firstLineChars="200"/>
        <w:textAlignment w:val="auto"/>
        <w:rPr>
          <w:rFonts w:hint="eastAsia" w:ascii="楷体_GB2312" w:hAnsi="楷体_GB2312" w:eastAsia="楷体_GB2312" w:cs="楷体_GB2312"/>
          <w:color w:val="000000"/>
          <w:spacing w:val="-11"/>
          <w:kern w:val="0"/>
          <w:sz w:val="32"/>
          <w:szCs w:val="32"/>
          <w:lang w:val="en-US" w:eastAsia="zh-CN" w:bidi="ar"/>
        </w:rPr>
      </w:pPr>
      <w:r>
        <w:rPr>
          <w:rFonts w:hint="eastAsia" w:ascii="楷体_GB2312" w:hAnsi="楷体_GB2312" w:eastAsia="楷体_GB2312" w:cs="楷体_GB2312"/>
          <w:color w:val="000000"/>
          <w:spacing w:val="-11"/>
          <w:kern w:val="0"/>
          <w:sz w:val="32"/>
          <w:szCs w:val="32"/>
          <w:lang w:val="en-US" w:eastAsia="zh-CN" w:bidi="ar"/>
        </w:rPr>
        <w:t>（二）实施“托育服务暖心工程”，着力解决“入托贵”问题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600" w:lineRule="exact"/>
        <w:ind w:firstLine="643" w:firstLineChars="200"/>
        <w:textAlignment w:val="auto"/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val="en-US" w:eastAsia="zh-CN" w:bidi="ar"/>
        </w:rPr>
      </w:pPr>
      <w:r>
        <w:rPr>
          <w:rFonts w:hint="eastAsia" w:ascii="仿宋_GB2312" w:hAnsi="仿宋_GB2312" w:eastAsia="仿宋_GB2312" w:cs="仿宋_GB2312"/>
          <w:b/>
          <w:bCs/>
          <w:color w:val="000000"/>
          <w:kern w:val="0"/>
          <w:sz w:val="32"/>
          <w:szCs w:val="32"/>
          <w:lang w:val="en-US" w:eastAsia="zh-CN" w:bidi="ar"/>
        </w:rPr>
        <w:t>5.实施激励性奖补。</w:t>
      </w: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val="en-US" w:eastAsia="zh-CN" w:bidi="ar"/>
        </w:rPr>
        <w:t>开展普惠托育星级园创建，对获评市级、省级的托育机构分别给予不高于10万元/家、20万元/家奖补。鼓励托育机构提供2岁以下婴幼儿托育服务，根据标准班型(乳儿班10人、托小班15人、混合班18人、托大班20人)实际收托数，对2025年6月（含）前托位使用率达50%及以上，2025年7月起达60%及以上的托育机构给予奖补，分别按照乳儿班、托小班（含混龄班收托2周岁以下幼儿）不高于300元、200元每人每月标准给予专项奖补。对收托三孩家庭婴幼儿、计生特殊家庭再生育婴幼儿、残疾婴幼儿满半年及以上并减免上述对象50%保育费用的托育机构（点），按每人每月不高于600元的标准给予奖补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600" w:lineRule="exact"/>
        <w:ind w:firstLine="643" w:firstLineChars="200"/>
        <w:textAlignment w:val="auto"/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val="en-US" w:eastAsia="zh-CN" w:bidi="ar"/>
        </w:rPr>
      </w:pPr>
      <w:r>
        <w:rPr>
          <w:rFonts w:hint="eastAsia" w:ascii="仿宋_GB2312" w:hAnsi="仿宋_GB2312" w:eastAsia="仿宋_GB2312" w:cs="仿宋_GB2312"/>
          <w:b/>
          <w:bCs/>
          <w:color w:val="000000"/>
          <w:kern w:val="0"/>
          <w:sz w:val="32"/>
          <w:szCs w:val="32"/>
          <w:lang w:val="en-US" w:eastAsia="zh-CN" w:bidi="ar"/>
        </w:rPr>
        <w:t>6.落实租金减免和运营补助。</w:t>
      </w: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val="en-US" w:eastAsia="zh-CN" w:bidi="ar"/>
        </w:rPr>
        <w:t>对2025年6月底前备案，截至奖补时，持续正常运营6个月以上的符合条件的普惠托育机构给予托育场所一定的租金减免（使用自有房屋作为托育场所者不享受此项减免），按实际入托率折算房租补助比例，最高不超过30元/平方米/月。根据标准班型(乳儿班10人、托小班15人、混合班18人、托大班20人)实际收托数，2025年6月（含）前托位使用率达50%及以上，2025年7月起达60%及以上的托育机构给予运营补助，每人每月奖补不高于200元。资金若有结余，对连续6个月托位使用率达到60%及以上的机构一次性给予不高于5万元奖补。2岁以下婴幼儿激励性奖补、重点婴幼儿收托激励性奖补与运营补助，收托时间满15天按1个月计算，不满15天按半个月计算，对同一对象不重复奖补，按就高原则给予奖补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600" w:lineRule="exact"/>
        <w:ind w:firstLine="596" w:firstLineChars="200"/>
        <w:textAlignment w:val="auto"/>
        <w:rPr>
          <w:rFonts w:hint="eastAsia" w:ascii="楷体_GB2312" w:hAnsi="楷体_GB2312" w:eastAsia="楷体_GB2312" w:cs="楷体_GB2312"/>
          <w:color w:val="000000"/>
          <w:spacing w:val="-11"/>
          <w:kern w:val="0"/>
          <w:sz w:val="32"/>
          <w:szCs w:val="32"/>
          <w:lang w:val="en-US" w:eastAsia="zh-CN" w:bidi="ar"/>
        </w:rPr>
      </w:pPr>
      <w:r>
        <w:rPr>
          <w:rFonts w:hint="eastAsia" w:ascii="楷体_GB2312" w:hAnsi="楷体_GB2312" w:eastAsia="楷体_GB2312" w:cs="楷体_GB2312"/>
          <w:color w:val="000000"/>
          <w:spacing w:val="-11"/>
          <w:kern w:val="0"/>
          <w:sz w:val="32"/>
          <w:szCs w:val="32"/>
          <w:lang w:val="en-US" w:eastAsia="zh-CN" w:bidi="ar"/>
        </w:rPr>
        <w:t>（三）实施“婴幼儿照护放心工程”，努力实现“托得好”目标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600" w:lineRule="exact"/>
        <w:ind w:firstLine="643" w:firstLineChars="200"/>
        <w:textAlignment w:val="auto"/>
        <w:rPr>
          <w:rFonts w:hint="eastAsia" w:ascii="楷体_GB2312" w:hAnsi="楷体_GB2312" w:eastAsia="楷体_GB2312" w:cs="楷体_GB2312"/>
          <w:color w:val="000000"/>
          <w:kern w:val="0"/>
          <w:sz w:val="32"/>
          <w:szCs w:val="32"/>
          <w:lang w:val="en-US" w:eastAsia="zh-CN" w:bidi="ar"/>
        </w:rPr>
      </w:pPr>
      <w:r>
        <w:rPr>
          <w:rFonts w:hint="eastAsia" w:ascii="仿宋_GB2312" w:hAnsi="仿宋_GB2312" w:eastAsia="仿宋_GB2312" w:cs="仿宋_GB2312"/>
          <w:b/>
          <w:bCs/>
          <w:color w:val="000000"/>
          <w:kern w:val="0"/>
          <w:sz w:val="32"/>
          <w:szCs w:val="32"/>
          <w:lang w:val="en-US" w:eastAsia="zh-CN" w:bidi="ar"/>
        </w:rPr>
        <w:t>7.升级改造消防安全设施。</w:t>
      </w: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val="en-US" w:eastAsia="zh-CN" w:bidi="ar"/>
        </w:rPr>
        <w:t>各乡镇要按照属地管理原则，严把托育机构场所源头消防安全合规关，强化安全警示教育及消防安全普法工作，不定期对辖区托育机构进行消防安全检查，督促落实机构主体责任，着力构建“属地政府统一领导、部门依法依责监管、托育机构全面负责、入托婴幼儿家长积极参与”的消防安全监管工作体系，形成齐抓共管格局。实施安防“五大包”补助，鼓励公办托育机构升级改造消防安全等设施，有实际需求的公办托育机构可向县托育综合服务中心申请资金补助，评估验收结果符合条件的单位出具实际支出凭证（实际支出费用需大于补助金额）可领取对应分包补助。其中：（1）明厨亮灶改建包：用于厨房监控摄像头、防火设施、电气设备监测和升级等，补助不高于1万元/家。（2）托育园消防包：用于托育园消防喷淋、警报、烟雾探测器、消防栓等优化改建，加强消防设施维护管理等，补助不高于5万元/家。（3）实体防护包：用于防盗安全门、防炸玻璃门、门禁系统、临街窗户限位器等，补助不高于1万元/家。（4）技术防护包：用于主要出入口视频监控、一键对讲紧急报警器等，补助不高于1万元/家。（5）人防安全包：用于购买保安套装八件套等，补助不高于0.05万元/家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600" w:lineRule="exact"/>
        <w:ind w:firstLine="596" w:firstLineChars="200"/>
        <w:textAlignment w:val="auto"/>
        <w:rPr>
          <w:rFonts w:hint="eastAsia" w:ascii="楷体_GB2312" w:hAnsi="楷体_GB2312" w:eastAsia="楷体_GB2312" w:cs="楷体_GB2312"/>
          <w:color w:val="000000"/>
          <w:spacing w:val="-11"/>
          <w:kern w:val="0"/>
          <w:sz w:val="32"/>
          <w:szCs w:val="32"/>
          <w:lang w:val="en-US" w:eastAsia="zh-CN" w:bidi="ar"/>
        </w:rPr>
      </w:pPr>
      <w:r>
        <w:rPr>
          <w:rFonts w:hint="eastAsia" w:ascii="楷体_GB2312" w:hAnsi="楷体_GB2312" w:eastAsia="楷体_GB2312" w:cs="楷体_GB2312"/>
          <w:color w:val="000000"/>
          <w:spacing w:val="-11"/>
          <w:kern w:val="0"/>
          <w:sz w:val="32"/>
          <w:szCs w:val="32"/>
          <w:lang w:val="en-US" w:eastAsia="zh-CN" w:bidi="ar"/>
        </w:rPr>
        <w:t>（四）实施“托育管理标杆工程”，努力实现“托得安”目标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600" w:lineRule="exact"/>
        <w:ind w:firstLine="643" w:firstLineChars="200"/>
        <w:textAlignment w:val="auto"/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val="en-US" w:eastAsia="zh-CN" w:bidi="ar"/>
        </w:rPr>
      </w:pPr>
      <w:r>
        <w:rPr>
          <w:rFonts w:hint="eastAsia" w:ascii="仿宋_GB2312" w:hAnsi="仿宋_GB2312" w:eastAsia="仿宋_GB2312" w:cs="仿宋_GB2312"/>
          <w:b/>
          <w:bCs/>
          <w:color w:val="000000"/>
          <w:kern w:val="0"/>
          <w:sz w:val="32"/>
          <w:szCs w:val="32"/>
          <w:lang w:val="en-US" w:eastAsia="zh-CN" w:bidi="ar"/>
        </w:rPr>
        <w:t>8.打造“一县一品”托育园。</w:t>
      </w: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val="en-US" w:eastAsia="zh-CN" w:bidi="ar"/>
        </w:rPr>
        <w:t>充分发挥安溪独特的自然、历史文化等资源优势，建设1家有安溪县域文化特色托育园，为普惠托育服务注入新活力。实施县域特色托育园奖补，按每个特色托育园不低于10万元的标准进行奖补。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600" w:lineRule="exact"/>
        <w:ind w:firstLine="643" w:firstLineChars="200"/>
        <w:textAlignment w:val="auto"/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val="en-US" w:eastAsia="zh-CN" w:bidi="ar"/>
        </w:rPr>
      </w:pPr>
      <w:r>
        <w:rPr>
          <w:rFonts w:hint="eastAsia" w:ascii="仿宋_GB2312" w:hAnsi="仿宋_GB2312" w:eastAsia="仿宋_GB2312" w:cs="仿宋_GB2312"/>
          <w:b/>
          <w:bCs/>
          <w:color w:val="000000"/>
          <w:kern w:val="0"/>
          <w:sz w:val="32"/>
          <w:szCs w:val="32"/>
          <w:lang w:val="en-US" w:eastAsia="zh-CN" w:bidi="ar"/>
        </w:rPr>
        <w:t>9.加强托育行业人才赋能提质。</w:t>
      </w: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val="en-US" w:eastAsia="zh-CN" w:bidi="ar"/>
        </w:rPr>
        <w:t>开展岗前、技能提升、管理岗位等多层次培训，落实“人人持证”上岗，突出小月龄托育师资、医育结合复合型人才培养，促进我市托育行业人才增量提质。鼓励托育服务从业人员参加职业技能培训，到2025年底，力争实现托育行业从业人员全员轮训全覆盖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600" w:lineRule="exact"/>
        <w:ind w:firstLine="643" w:firstLineChars="200"/>
        <w:textAlignment w:val="auto"/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val="en-US" w:eastAsia="zh-CN" w:bidi="ar"/>
        </w:rPr>
      </w:pPr>
      <w:r>
        <w:rPr>
          <w:rFonts w:hint="eastAsia" w:ascii="仿宋_GB2312" w:hAnsi="仿宋_GB2312" w:eastAsia="仿宋_GB2312" w:cs="仿宋_GB2312"/>
          <w:b/>
          <w:bCs/>
          <w:color w:val="000000"/>
          <w:kern w:val="0"/>
          <w:sz w:val="32"/>
          <w:szCs w:val="32"/>
          <w:lang w:val="en-US" w:eastAsia="zh-CN" w:bidi="ar"/>
        </w:rPr>
        <w:t>10.推动完善托育服务专业建设。</w:t>
      </w:r>
      <w:r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32"/>
          <w:szCs w:val="32"/>
          <w:lang w:val="en-US" w:eastAsia="zh-CN" w:bidi="ar"/>
        </w:rPr>
        <w:t>鼓励具备条件的职业院校建设托育服务相关专业，对设有托育相关专业的学校进行补助，补助不高于5万元</w:t>
      </w: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val="en-US" w:eastAsia="zh-CN" w:bidi="ar"/>
        </w:rPr>
        <w:t>/家。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600" w:lineRule="exact"/>
        <w:ind w:firstLine="643" w:firstLineChars="200"/>
        <w:textAlignment w:val="auto"/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val="en-US" w:eastAsia="zh-CN" w:bidi="ar"/>
        </w:rPr>
      </w:pPr>
      <w:r>
        <w:rPr>
          <w:rFonts w:hint="eastAsia" w:ascii="仿宋_GB2312" w:hAnsi="仿宋_GB2312" w:eastAsia="仿宋_GB2312" w:cs="仿宋_GB2312"/>
          <w:b/>
          <w:bCs/>
          <w:color w:val="000000"/>
          <w:kern w:val="0"/>
          <w:sz w:val="32"/>
          <w:szCs w:val="32"/>
          <w:lang w:val="en-US" w:eastAsia="zh-CN" w:bidi="ar"/>
        </w:rPr>
        <w:t>11.强化托育工作宣传引导。</w:t>
      </w: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val="en-US" w:eastAsia="zh-CN" w:bidi="ar"/>
        </w:rPr>
        <w:t>加强优生优育人口发展宣传，开展婚育新风宣传教育、婚恋主题文化活动，引导形成健康的婚恋观家庭观。开展托育普及宣传教育，通过拍摄、播放托育宣传片等方式，提高社会对托育服务的认知和接纳度，营造支持托育、促进生育的良好社会环境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600" w:lineRule="exact"/>
        <w:ind w:firstLine="640" w:firstLineChars="200"/>
        <w:textAlignment w:val="auto"/>
        <w:rPr>
          <w:rFonts w:hint="default" w:ascii="黑体" w:hAnsi="黑体" w:eastAsia="黑体" w:cs="黑体"/>
          <w:color w:val="000000"/>
          <w:kern w:val="0"/>
          <w:sz w:val="32"/>
          <w:szCs w:val="32"/>
          <w:lang w:val="en-US" w:eastAsia="zh-CN" w:bidi="ar"/>
        </w:rPr>
      </w:pPr>
      <w:r>
        <w:rPr>
          <w:rFonts w:hint="eastAsia" w:ascii="黑体" w:hAnsi="黑体" w:eastAsia="黑体" w:cs="黑体"/>
          <w:color w:val="000000"/>
          <w:kern w:val="0"/>
          <w:sz w:val="32"/>
          <w:szCs w:val="32"/>
          <w:lang w:val="en-US" w:eastAsia="zh-CN" w:bidi="ar"/>
        </w:rPr>
        <w:t>三、补助对象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60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val="en-US" w:eastAsia="zh-CN" w:bidi="ar"/>
        </w:rPr>
      </w:pP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val="en-US" w:eastAsia="zh-CN" w:bidi="ar"/>
        </w:rPr>
        <w:t>普惠托育机构同时符合以下4个方面基本条件，自觉接受政府限价并面向社会大众提供普惠性托育服务者，可以作为安溪县普惠托育机构补助的对象。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60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val="en-US" w:eastAsia="zh-CN" w:bidi="ar"/>
        </w:rPr>
      </w:pP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val="en-US" w:eastAsia="zh-CN" w:bidi="ar"/>
        </w:rPr>
        <w:t>1.至拨付时点机构运营良好，无不良征信记录，无违法违规记录；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60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val="en-US" w:eastAsia="zh-CN" w:bidi="ar"/>
        </w:rPr>
      </w:pP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val="en-US" w:eastAsia="zh-CN" w:bidi="ar"/>
        </w:rPr>
        <w:t>2.依法登记注册，取得《托育机构备案回执》，且备案信息在有效期内；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60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val="en-US" w:eastAsia="zh-CN" w:bidi="ar"/>
        </w:rPr>
      </w:pP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val="en-US" w:eastAsia="zh-CN" w:bidi="ar"/>
        </w:rPr>
        <w:t>3.签订普惠托育协议，收费标准低于辖区制定的最高普惠托育收费价格；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60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val="en-US" w:eastAsia="zh-CN" w:bidi="ar"/>
        </w:rPr>
      </w:pP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val="en-US" w:eastAsia="zh-CN" w:bidi="ar"/>
        </w:rPr>
        <w:t xml:space="preserve">4.按照卫生健康部门要求，及时准确报送相关数据信息。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600" w:lineRule="exact"/>
        <w:ind w:firstLine="640" w:firstLineChars="200"/>
        <w:textAlignment w:val="auto"/>
        <w:rPr>
          <w:rFonts w:hint="eastAsia" w:ascii="黑体" w:hAnsi="黑体" w:eastAsia="黑体" w:cs="黑体"/>
          <w:color w:val="000000"/>
          <w:kern w:val="0"/>
          <w:sz w:val="32"/>
          <w:szCs w:val="32"/>
          <w:lang w:val="en-US" w:eastAsia="zh-CN" w:bidi="ar"/>
        </w:rPr>
      </w:pPr>
      <w:r>
        <w:rPr>
          <w:rFonts w:hint="eastAsia" w:ascii="黑体" w:hAnsi="黑体" w:eastAsia="黑体" w:cs="黑体"/>
          <w:color w:val="000000"/>
          <w:kern w:val="0"/>
          <w:sz w:val="32"/>
          <w:szCs w:val="32"/>
          <w:lang w:val="en-US" w:eastAsia="zh-CN" w:bidi="ar"/>
        </w:rPr>
        <w:t>四、申请流程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60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val="en-US" w:eastAsia="zh-CN" w:bidi="ar"/>
        </w:rPr>
      </w:pPr>
      <w:r>
        <w:rPr>
          <w:rFonts w:hint="eastAsia" w:ascii="楷体_GB2312" w:hAnsi="楷体_GB2312" w:eastAsia="楷体_GB2312" w:cs="楷体_GB2312"/>
          <w:color w:val="000000"/>
          <w:kern w:val="0"/>
          <w:sz w:val="32"/>
          <w:szCs w:val="32"/>
          <w:lang w:val="en-US" w:eastAsia="zh-CN" w:bidi="ar"/>
        </w:rPr>
        <w:t>（一）机构申请</w:t>
      </w: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val="en-US" w:eastAsia="zh-CN" w:bidi="ar"/>
        </w:rPr>
        <w:t>：符合条件的备案普惠托育机构于每月5日前自行向机构所在地乡镇人民政府提出申请，并根据实际情况填写《安溪县普惠托育机构补助资金申请表》（附件1）（一式两份），连同在托婴幼儿信息统计表（附件2）、备案回执、普惠协议、租房合同、支出凭证等佐证材料复印件一并交给乡镇人民政府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60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val="en-US" w:eastAsia="zh-CN" w:bidi="ar"/>
        </w:rPr>
      </w:pPr>
      <w:r>
        <w:rPr>
          <w:rFonts w:hint="eastAsia" w:ascii="楷体_GB2312" w:hAnsi="楷体_GB2312" w:eastAsia="楷体_GB2312" w:cs="楷体_GB2312"/>
          <w:color w:val="000000"/>
          <w:kern w:val="0"/>
          <w:sz w:val="32"/>
          <w:szCs w:val="32"/>
          <w:lang w:val="en-US" w:eastAsia="zh-CN" w:bidi="ar"/>
        </w:rPr>
        <w:t>（二）乡镇初审</w:t>
      </w: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val="en-US" w:eastAsia="zh-CN" w:bidi="ar"/>
        </w:rPr>
        <w:t>：各乡镇对机构申请材料进行审核把关并进行实地核查，对弄虚作假的托育机构取消申报资格，对符合条件的托育机构，在《安溪县普惠托育机构补助资金申请表》上签字盖章，连同在托婴幼儿信息统计表（附件2）、备案回执、普惠协议、租房合同、支出凭证等佐证材料复印件于每月10日前上报县托育综合服务中心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60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val="en-US" w:eastAsia="zh-CN" w:bidi="ar"/>
        </w:rPr>
      </w:pPr>
      <w:r>
        <w:rPr>
          <w:rFonts w:hint="eastAsia" w:ascii="楷体_GB2312" w:hAnsi="楷体_GB2312" w:eastAsia="楷体_GB2312" w:cs="楷体_GB2312"/>
          <w:color w:val="000000"/>
          <w:kern w:val="0"/>
          <w:sz w:val="32"/>
          <w:szCs w:val="32"/>
          <w:lang w:val="en-US" w:eastAsia="zh-CN" w:bidi="ar"/>
        </w:rPr>
        <w:t>（三）县级复核</w:t>
      </w: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val="en-US" w:eastAsia="zh-CN" w:bidi="ar"/>
        </w:rPr>
        <w:t>：每月20日前对乡镇报送的资料进行复核；在《安溪县普惠托育机构补助资金申请表》上签字盖章，与通过复核的补助单位签订补充协议，明确降费标准、资金管理等事项。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600" w:lineRule="exact"/>
        <w:ind w:firstLine="640" w:firstLineChars="200"/>
        <w:textAlignment w:val="auto"/>
        <w:rPr>
          <w:rFonts w:hint="default" w:ascii="黑体" w:hAnsi="黑体" w:eastAsia="黑体" w:cs="黑体"/>
          <w:color w:val="000000"/>
          <w:kern w:val="0"/>
          <w:sz w:val="32"/>
          <w:szCs w:val="32"/>
          <w:lang w:val="en-US" w:eastAsia="zh-CN" w:bidi="ar"/>
        </w:rPr>
      </w:pPr>
      <w:r>
        <w:rPr>
          <w:rFonts w:hint="eastAsia" w:ascii="黑体" w:hAnsi="黑体" w:eastAsia="黑体" w:cs="黑体"/>
          <w:color w:val="000000"/>
          <w:kern w:val="0"/>
          <w:sz w:val="32"/>
          <w:szCs w:val="32"/>
          <w:lang w:val="en-US" w:eastAsia="zh-CN" w:bidi="ar"/>
        </w:rPr>
        <w:t>五、其他事项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60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val="en-US" w:eastAsia="zh-CN" w:bidi="ar"/>
        </w:rPr>
      </w:pP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val="en-US" w:eastAsia="zh-CN" w:bidi="ar"/>
        </w:rPr>
        <w:t>1.本次补助资金以中央财政资金、市级核定下达资金及县级配套资金总额为限，当总下达资金使用完毕后，将不再另行安排此项补助。若在文件实施期间，总下达资金有剩余，则根据实际情况及相关规定，对相关托育机构追加一定额度的补助，以确保资金的合理利用和项目的顺利实施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60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val="en-US" w:eastAsia="zh-CN" w:bidi="ar"/>
        </w:rPr>
      </w:pP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val="en-US" w:eastAsia="zh-CN" w:bidi="ar"/>
        </w:rPr>
        <w:t>2.各托育机构应以公安户口簿为依据，如实填报《在托婴幼儿信息统计表》,准确核实幼儿出生年月，若无公安户口的，应通过出生证或防疫证等核实幼儿出生年月，不得弄虚作假。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600" w:lineRule="exact"/>
        <w:ind w:firstLine="640" w:firstLineChars="200"/>
        <w:textAlignment w:val="auto"/>
        <w:rPr>
          <w:rFonts w:hint="default" w:ascii="仿宋_GB2312" w:hAnsi="仿宋_GB2312" w:eastAsia="仿宋_GB2312" w:cs="仿宋_GB2312"/>
          <w:color w:val="000000"/>
          <w:kern w:val="0"/>
          <w:sz w:val="32"/>
          <w:szCs w:val="32"/>
          <w:lang w:val="en-US" w:eastAsia="zh-CN" w:bidi="ar"/>
        </w:rPr>
      </w:pP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val="en-US" w:eastAsia="zh-CN" w:bidi="ar"/>
        </w:rPr>
        <w:t>3.各乡镇要切实做好实地核实及材料查验工作，现场比对在托婴幼儿数量，对虚假上报的托育机构，一律不得作为补助对象，各乡镇不得予以报送。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60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val="en-US" w:eastAsia="zh-CN" w:bidi="ar"/>
        </w:rPr>
      </w:pP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val="en-US" w:eastAsia="zh-CN" w:bidi="ar"/>
        </w:rPr>
        <w:t>4.县托育综合服务中心要规范托育补助资金申请流程、使用的监督机制，确保资金使用规范、合理。对获得补助的托育机构进行定期检查和评估，如发现不符合条件的情况，将取消补助资格并追回已发放的补助资金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60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val="en-US" w:eastAsia="zh-CN" w:bidi="ar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60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val="en-US" w:eastAsia="zh-CN" w:bidi="ar"/>
        </w:rPr>
      </w:pP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val="en-US" w:eastAsia="zh-CN" w:bidi="ar"/>
        </w:rPr>
        <w:t>本文件实施有效期为2024年11月1日至2025年12月31日。具体解释工作由安溪县卫生健康局会同安溪县财政局负责。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60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val="en-US" w:eastAsia="zh-CN" w:bidi="ar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60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val="en-US" w:eastAsia="zh-CN" w:bidi="ar"/>
        </w:rPr>
      </w:pP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val="en-US" w:eastAsia="zh-CN" w:bidi="ar"/>
        </w:rPr>
        <w:t>附件：1.安溪县普惠托育机构补助资金申请表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600" w:lineRule="exact"/>
        <w:ind w:firstLine="1600" w:firstLineChars="500"/>
        <w:textAlignment w:val="auto"/>
        <w:rPr>
          <w:rFonts w:hint="default" w:ascii="仿宋_GB2312" w:hAnsi="仿宋_GB2312" w:eastAsia="仿宋_GB2312" w:cs="仿宋_GB2312"/>
          <w:color w:val="000000"/>
          <w:kern w:val="0"/>
          <w:sz w:val="32"/>
          <w:szCs w:val="32"/>
          <w:lang w:val="en-US" w:eastAsia="zh-CN" w:bidi="ar"/>
        </w:rPr>
        <w:sectPr>
          <w:footerReference r:id="rId3" w:type="default"/>
          <w:pgSz w:w="11906" w:h="16838"/>
          <w:pgMar w:top="1871" w:right="1474" w:bottom="1928" w:left="1587" w:header="851" w:footer="1417" w:gutter="0"/>
          <w:pgNumType w:fmt="decimal"/>
          <w:cols w:space="0" w:num="1"/>
          <w:rtlGutter w:val="0"/>
          <w:docGrid w:type="lines" w:linePitch="312" w:charSpace="0"/>
        </w:sectPr>
      </w:pPr>
      <w:r>
        <w:rPr>
          <w:rFonts w:hint="default" w:ascii="仿宋_GB2312" w:hAnsi="仿宋_GB2312" w:eastAsia="仿宋_GB2312" w:cs="仿宋_GB2312"/>
          <w:color w:val="000000"/>
          <w:kern w:val="0"/>
          <w:sz w:val="32"/>
          <w:szCs w:val="32"/>
          <w:lang w:val="en-US" w:eastAsia="zh-CN" w:bidi="ar"/>
        </w:rPr>
        <w:t>2</w:t>
      </w: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val="en-US" w:eastAsia="zh-CN" w:bidi="ar"/>
        </w:rPr>
        <w:t>.</w:t>
      </w:r>
      <w:r>
        <w:rPr>
          <w:rFonts w:hint="default" w:ascii="仿宋_GB2312" w:hAnsi="仿宋_GB2312" w:eastAsia="仿宋_GB2312" w:cs="仿宋_GB2312"/>
          <w:color w:val="000000"/>
          <w:kern w:val="0"/>
          <w:sz w:val="32"/>
          <w:szCs w:val="32"/>
          <w:lang w:val="en-US" w:eastAsia="zh-CN" w:bidi="ar"/>
        </w:rPr>
        <w:t>在托婴幼儿信息统计表</w:t>
      </w:r>
    </w:p>
    <w:p>
      <w:pPr>
        <w:pStyle w:val="2"/>
        <w:rPr>
          <w:rFonts w:hint="default"/>
          <w:sz w:val="32"/>
          <w:szCs w:val="32"/>
          <w:lang w:val="en-US" w:eastAsia="zh-CN"/>
        </w:rPr>
      </w:pPr>
    </w:p>
    <w:p>
      <w:pPr>
        <w:pStyle w:val="2"/>
        <w:rPr>
          <w:rFonts w:hint="default"/>
          <w:sz w:val="32"/>
          <w:szCs w:val="32"/>
          <w:lang w:val="en-US" w:eastAsia="zh-CN"/>
        </w:rPr>
      </w:pPr>
    </w:p>
    <w:p>
      <w:pPr>
        <w:pStyle w:val="13"/>
        <w:spacing w:line="600" w:lineRule="exact"/>
        <w:ind w:firstLine="0" w:firstLineChars="0"/>
        <w:rPr>
          <w:rFonts w:hint="eastAsia" w:ascii="仿宋_GB2312" w:eastAsia="仿宋_GB2312"/>
          <w:b/>
          <w:color w:val="FF0000"/>
          <w:sz w:val="32"/>
          <w:szCs w:val="32"/>
        </w:rPr>
      </w:pPr>
      <w:bookmarkStart w:id="3" w:name="OLE_LINK8"/>
      <w:bookmarkStart w:id="4" w:name="OLE_LINK5"/>
      <w:bookmarkStart w:id="5" w:name="OLE_LINK7"/>
    </w:p>
    <w:p>
      <w:pPr>
        <w:pStyle w:val="13"/>
        <w:spacing w:line="600" w:lineRule="exact"/>
        <w:ind w:firstLine="0" w:firstLineChars="0"/>
        <w:rPr>
          <w:rFonts w:hint="eastAsia" w:ascii="仿宋_GB2312" w:eastAsia="仿宋_GB2312"/>
          <w:b/>
          <w:color w:val="FF0000"/>
          <w:sz w:val="32"/>
          <w:szCs w:val="32"/>
        </w:rPr>
      </w:pPr>
    </w:p>
    <w:p>
      <w:pPr>
        <w:pStyle w:val="13"/>
        <w:spacing w:line="600" w:lineRule="exact"/>
        <w:ind w:firstLine="0" w:firstLineChars="0"/>
        <w:rPr>
          <w:rFonts w:hint="eastAsia" w:ascii="仿宋_GB2312" w:eastAsia="仿宋_GB2312"/>
          <w:b/>
          <w:color w:val="FF0000"/>
          <w:sz w:val="32"/>
          <w:szCs w:val="32"/>
        </w:rPr>
      </w:pPr>
    </w:p>
    <w:p>
      <w:pPr>
        <w:pStyle w:val="13"/>
        <w:spacing w:line="600" w:lineRule="exact"/>
        <w:ind w:firstLine="0" w:firstLineChars="0"/>
        <w:rPr>
          <w:rFonts w:hint="eastAsia" w:ascii="仿宋_GB2312" w:eastAsia="仿宋_GB2312"/>
          <w:b/>
          <w:color w:val="FF0000"/>
          <w:sz w:val="32"/>
          <w:szCs w:val="32"/>
        </w:rPr>
      </w:pPr>
    </w:p>
    <w:p>
      <w:pPr>
        <w:pStyle w:val="13"/>
        <w:spacing w:line="600" w:lineRule="exact"/>
        <w:ind w:firstLine="0" w:firstLineChars="0"/>
        <w:rPr>
          <w:rFonts w:hint="eastAsia" w:ascii="仿宋_GB2312" w:eastAsia="仿宋_GB2312"/>
          <w:b/>
          <w:color w:val="FF0000"/>
          <w:sz w:val="32"/>
          <w:szCs w:val="32"/>
        </w:rPr>
      </w:pPr>
    </w:p>
    <w:p>
      <w:pPr>
        <w:pStyle w:val="13"/>
        <w:spacing w:line="600" w:lineRule="exact"/>
        <w:ind w:firstLine="0" w:firstLineChars="0"/>
        <w:rPr>
          <w:rFonts w:hint="eastAsia" w:ascii="仿宋_GB2312" w:eastAsia="仿宋_GB2312"/>
          <w:b/>
          <w:color w:val="FF0000"/>
          <w:sz w:val="32"/>
          <w:szCs w:val="32"/>
        </w:rPr>
      </w:pPr>
    </w:p>
    <w:p>
      <w:pPr>
        <w:pStyle w:val="13"/>
        <w:spacing w:line="600" w:lineRule="exact"/>
        <w:ind w:firstLine="0" w:firstLineChars="0"/>
        <w:rPr>
          <w:rFonts w:hint="eastAsia" w:ascii="仿宋_GB2312" w:eastAsia="仿宋_GB2312"/>
          <w:b/>
          <w:color w:val="FF0000"/>
          <w:sz w:val="32"/>
          <w:szCs w:val="32"/>
        </w:rPr>
      </w:pPr>
    </w:p>
    <w:p>
      <w:pPr>
        <w:pStyle w:val="13"/>
        <w:spacing w:line="600" w:lineRule="exact"/>
        <w:ind w:firstLine="0" w:firstLineChars="0"/>
        <w:rPr>
          <w:rFonts w:hint="eastAsia" w:ascii="仿宋_GB2312" w:eastAsia="仿宋_GB2312"/>
          <w:b/>
          <w:color w:val="FF0000"/>
          <w:sz w:val="32"/>
          <w:szCs w:val="32"/>
        </w:rPr>
      </w:pPr>
    </w:p>
    <w:p>
      <w:pPr>
        <w:pStyle w:val="13"/>
        <w:spacing w:line="600" w:lineRule="exact"/>
        <w:ind w:firstLine="0" w:firstLineChars="0"/>
        <w:rPr>
          <w:rFonts w:hint="eastAsia" w:ascii="仿宋_GB2312" w:eastAsia="仿宋_GB2312"/>
          <w:b/>
          <w:color w:val="FF0000"/>
          <w:sz w:val="32"/>
          <w:szCs w:val="32"/>
        </w:rPr>
      </w:pPr>
    </w:p>
    <w:p>
      <w:pPr>
        <w:pStyle w:val="13"/>
        <w:spacing w:line="600" w:lineRule="exact"/>
        <w:ind w:firstLine="0" w:firstLineChars="0"/>
        <w:rPr>
          <w:rFonts w:hint="eastAsia" w:ascii="仿宋_GB2312" w:eastAsia="仿宋_GB2312"/>
          <w:b/>
          <w:color w:val="FF0000"/>
          <w:sz w:val="32"/>
          <w:szCs w:val="32"/>
        </w:rPr>
      </w:pPr>
    </w:p>
    <w:p>
      <w:pPr>
        <w:pStyle w:val="13"/>
        <w:spacing w:line="600" w:lineRule="exact"/>
        <w:ind w:firstLine="0" w:firstLineChars="0"/>
        <w:rPr>
          <w:rFonts w:hint="eastAsia" w:ascii="仿宋_GB2312" w:eastAsia="仿宋_GB2312"/>
          <w:b/>
          <w:color w:val="FF0000"/>
          <w:sz w:val="32"/>
          <w:szCs w:val="32"/>
        </w:rPr>
      </w:pPr>
    </w:p>
    <w:p>
      <w:pPr>
        <w:pStyle w:val="13"/>
        <w:spacing w:line="600" w:lineRule="exact"/>
        <w:ind w:firstLine="0" w:firstLineChars="0"/>
        <w:rPr>
          <w:rFonts w:hint="eastAsia" w:ascii="仿宋_GB2312" w:eastAsia="仿宋_GB2312"/>
          <w:b/>
          <w:color w:val="FF0000"/>
          <w:sz w:val="32"/>
          <w:szCs w:val="32"/>
        </w:rPr>
      </w:pPr>
    </w:p>
    <w:p>
      <w:pPr>
        <w:pStyle w:val="13"/>
        <w:spacing w:line="600" w:lineRule="exact"/>
        <w:ind w:firstLine="0" w:firstLineChars="0"/>
        <w:rPr>
          <w:rFonts w:hint="eastAsia" w:ascii="仿宋_GB2312" w:eastAsia="仿宋_GB2312"/>
          <w:b/>
          <w:color w:val="FF0000"/>
          <w:sz w:val="32"/>
          <w:szCs w:val="32"/>
        </w:rPr>
      </w:pPr>
    </w:p>
    <w:p>
      <w:pPr>
        <w:pStyle w:val="13"/>
        <w:spacing w:line="600" w:lineRule="exact"/>
        <w:ind w:firstLine="0" w:firstLineChars="0"/>
        <w:rPr>
          <w:rFonts w:hint="eastAsia" w:ascii="仿宋_GB2312" w:eastAsia="仿宋_GB2312"/>
          <w:b/>
          <w:color w:val="FF0000"/>
          <w:sz w:val="32"/>
          <w:szCs w:val="32"/>
        </w:rPr>
      </w:pPr>
    </w:p>
    <w:p>
      <w:pPr>
        <w:pStyle w:val="13"/>
        <w:spacing w:line="600" w:lineRule="exact"/>
        <w:ind w:firstLine="0" w:firstLineChars="0"/>
        <w:rPr>
          <w:rFonts w:hint="eastAsia" w:ascii="仿宋_GB2312" w:eastAsia="仿宋_GB2312"/>
          <w:b/>
          <w:color w:val="FF0000"/>
          <w:sz w:val="32"/>
          <w:szCs w:val="32"/>
        </w:rPr>
      </w:pPr>
    </w:p>
    <w:p>
      <w:pPr>
        <w:pStyle w:val="13"/>
        <w:spacing w:line="600" w:lineRule="exact"/>
        <w:ind w:firstLine="0" w:firstLineChars="0"/>
        <w:rPr>
          <w:rFonts w:hint="eastAsia" w:ascii="仿宋_GB2312" w:eastAsia="仿宋_GB2312"/>
          <w:b/>
          <w:color w:val="FF0000"/>
          <w:sz w:val="32"/>
          <w:szCs w:val="32"/>
        </w:rPr>
      </w:pPr>
    </w:p>
    <w:p>
      <w:pPr>
        <w:pStyle w:val="13"/>
        <w:spacing w:line="600" w:lineRule="exact"/>
        <w:ind w:firstLine="0" w:firstLineChars="0"/>
        <w:rPr>
          <w:rFonts w:hint="eastAsia" w:ascii="仿宋_GB2312" w:eastAsia="仿宋_GB2312"/>
          <w:b/>
          <w:color w:val="FF0000"/>
          <w:sz w:val="32"/>
          <w:szCs w:val="32"/>
        </w:rPr>
      </w:pPr>
    </w:p>
    <w:p>
      <w:pPr>
        <w:pStyle w:val="13"/>
        <w:spacing w:line="600" w:lineRule="exact"/>
        <w:ind w:firstLine="0" w:firstLineChars="0"/>
        <w:rPr>
          <w:rFonts w:hint="eastAsia" w:ascii="仿宋_GB2312" w:eastAsia="仿宋_GB2312"/>
          <w:b/>
          <w:color w:val="FF0000"/>
          <w:sz w:val="32"/>
          <w:szCs w:val="32"/>
        </w:rPr>
      </w:pPr>
      <w:bookmarkStart w:id="6" w:name="OLE_LINK6"/>
      <w:bookmarkStart w:id="7" w:name="OLE_LINK4"/>
    </w:p>
    <w:p>
      <w:pPr>
        <w:pStyle w:val="13"/>
        <w:spacing w:line="600" w:lineRule="exact"/>
        <w:ind w:firstLine="0" w:firstLineChars="0"/>
        <w:rPr>
          <w:rFonts w:hint="default" w:ascii="仿宋_GB2312" w:eastAsia="仿宋_GB2312"/>
          <w:sz w:val="28"/>
          <w:szCs w:val="28"/>
          <w:lang w:val="en-US" w:eastAsia="zh-CN"/>
        </w:rPr>
      </w:pPr>
      <w:r>
        <w:rPr>
          <w:rFonts w:hint="eastAsia" w:ascii="仿宋_GB2312" w:eastAsia="仿宋_GB2312"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>
                <wp:simplePos x="0" y="0"/>
                <wp:positionH relativeFrom="column">
                  <wp:posOffset>-241935</wp:posOffset>
                </wp:positionH>
                <wp:positionV relativeFrom="paragraph">
                  <wp:posOffset>9525</wp:posOffset>
                </wp:positionV>
                <wp:extent cx="6010275" cy="10795"/>
                <wp:effectExtent l="0" t="4445" r="9525" b="13335"/>
                <wp:wrapNone/>
                <wp:docPr id="2" name="直接箭头连接符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010275" cy="10795"/>
                        </a:xfrm>
                        <a:prstGeom prst="straightConnector1">
                          <a:avLst/>
                        </a:prstGeom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headEnd type="none" w="med" len="med"/>
                          <a:tailEnd type="none" w="med" len="med"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32" type="#_x0000_t32" style="position:absolute;left:0pt;margin-left:-19.05pt;margin-top:0.75pt;height:0.85pt;width:473.25pt;z-index:251661312;mso-width-relative:page;mso-height-relative:page;" filled="f" stroked="t" coordsize="21600,21600" o:gfxdata="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">
                <v:path arrowok="t"/>
                <v:fill on="f" focussize="0,0"/>
                <v:stroke/>
                <v:imagedata o:title=""/>
                <o:lock v:ext="edit" aspectratio="f"/>
              </v:shape>
            </w:pict>
          </mc:Fallback>
        </mc:AlternateContent>
      </w:r>
      <w:r>
        <w:rPr>
          <w:rFonts w:ascii="仿宋_GB2312" w:eastAsia="仿宋_GB2312"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-254635</wp:posOffset>
                </wp:positionH>
                <wp:positionV relativeFrom="paragraph">
                  <wp:posOffset>483235</wp:posOffset>
                </wp:positionV>
                <wp:extent cx="6010275" cy="10795"/>
                <wp:effectExtent l="0" t="4445" r="9525" b="13335"/>
                <wp:wrapNone/>
                <wp:docPr id="4" name="直接箭头连接符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010275" cy="10795"/>
                        </a:xfrm>
                        <a:prstGeom prst="straightConnector1">
                          <a:avLst/>
                        </a:prstGeom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headEnd type="none" w="med" len="med"/>
                          <a:tailEnd type="none" w="med" len="med"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32" type="#_x0000_t32" style="position:absolute;left:0pt;margin-left:-20.05pt;margin-top:38.05pt;height:0.85pt;width:473.25pt;z-index:251660288;mso-width-relative:page;mso-height-relative:page;" filled="f" stroked="t" coordsize="21600,21600" o:gfxdata="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">
                <v:path arrowok="t"/>
                <v:fill on="f" focussize="0,0"/>
                <v:stroke/>
                <v:imagedata o:title=""/>
                <o:lock v:ext="edit" aspectratio="f"/>
              </v:shape>
            </w:pict>
          </mc:Fallback>
        </mc:AlternateContent>
      </w:r>
      <w:r>
        <w:rPr>
          <w:rFonts w:hint="eastAsia" w:ascii="仿宋_GB2312" w:eastAsia="仿宋_GB2312"/>
          <w:sz w:val="28"/>
          <w:szCs w:val="28"/>
        </w:rPr>
        <w:t xml:space="preserve">安溪县卫生健康局办公室       </w:t>
      </w:r>
      <w:r>
        <w:rPr>
          <w:rFonts w:hint="eastAsia" w:ascii="仿宋_GB2312" w:eastAsia="仿宋_GB2312"/>
          <w:sz w:val="28"/>
          <w:szCs w:val="28"/>
          <w:lang w:val="en-US" w:eastAsia="zh-CN"/>
        </w:rPr>
        <w:t xml:space="preserve"> </w:t>
      </w:r>
      <w:r>
        <w:rPr>
          <w:rFonts w:hint="eastAsia" w:ascii="仿宋_GB2312" w:eastAsia="仿宋_GB2312"/>
          <w:sz w:val="28"/>
          <w:szCs w:val="28"/>
        </w:rPr>
        <w:t xml:space="preserve">              202</w:t>
      </w:r>
      <w:r>
        <w:rPr>
          <w:rFonts w:hint="eastAsia" w:ascii="仿宋_GB2312" w:eastAsia="仿宋_GB2312"/>
          <w:sz w:val="28"/>
          <w:szCs w:val="28"/>
          <w:lang w:val="en-US" w:eastAsia="zh-CN"/>
        </w:rPr>
        <w:t>5</w:t>
      </w:r>
      <w:r>
        <w:rPr>
          <w:rFonts w:hint="eastAsia" w:ascii="仿宋_GB2312" w:eastAsia="仿宋_GB2312"/>
          <w:sz w:val="28"/>
          <w:szCs w:val="28"/>
        </w:rPr>
        <w:t>年</w:t>
      </w:r>
      <w:r>
        <w:rPr>
          <w:rFonts w:hint="eastAsia" w:ascii="仿宋_GB2312" w:eastAsia="仿宋_GB2312"/>
          <w:sz w:val="28"/>
          <w:szCs w:val="28"/>
          <w:lang w:val="en-US" w:eastAsia="zh-CN"/>
        </w:rPr>
        <w:t>4</w:t>
      </w:r>
      <w:r>
        <w:rPr>
          <w:rFonts w:hint="eastAsia" w:ascii="仿宋_GB2312" w:eastAsia="仿宋_GB2312"/>
          <w:sz w:val="28"/>
          <w:szCs w:val="28"/>
        </w:rPr>
        <w:t>月</w:t>
      </w:r>
      <w:r>
        <w:rPr>
          <w:rFonts w:hint="eastAsia" w:ascii="仿宋_GB2312" w:eastAsia="仿宋_GB2312"/>
          <w:sz w:val="28"/>
          <w:szCs w:val="28"/>
          <w:lang w:val="en-US" w:eastAsia="zh-CN"/>
        </w:rPr>
        <w:t>24</w:t>
      </w:r>
      <w:r>
        <w:rPr>
          <w:rFonts w:hint="eastAsia" w:ascii="仿宋_GB2312" w:eastAsia="仿宋_GB2312"/>
          <w:sz w:val="28"/>
          <w:szCs w:val="28"/>
        </w:rPr>
        <w:t>日印发</w:t>
      </w:r>
      <w:bookmarkEnd w:id="3"/>
      <w:bookmarkEnd w:id="4"/>
      <w:bookmarkEnd w:id="5"/>
      <w:bookmarkEnd w:id="6"/>
      <w:bookmarkEnd w:id="7"/>
    </w:p>
    <w:sectPr>
      <w:footerReference r:id="rId4" w:type="default"/>
      <w:pgSz w:w="11906" w:h="16838"/>
      <w:pgMar w:top="1871" w:right="1474" w:bottom="1928" w:left="1587" w:header="851" w:footer="1417" w:gutter="0"/>
      <w:pgNumType w:fmt="decimal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AD26A457-1DF2-440B-B505-2CE1B0F14F21}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  <w:embedRegular r:id="rId2" w:fontKey="{5CA156EE-F600-4265-A31B-07D7DCC7877A}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  <w:embedRegular r:id="rId3" w:fontKey="{D8ECE44E-D4E2-42A9-9A6D-90332BA1E629}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  <w:embedRegular r:id="rId4" w:fontKey="{C1328092-4ADC-4114-A1CB-7163C800FEA2}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  <w:embedRegular r:id="rId5" w:fontKey="{7DF07B26-E49A-4A0C-9A60-AE86B6C038EA}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  <w:embedRegular r:id="rId6" w:fontKey="{BDB5845C-0392-470B-B3D3-F678069CAAB0}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3" name="文本框 3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4"/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t xml:space="preserve">— </w: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t>1</w: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end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t xml:space="preserve"> —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4"/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</w:pP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t xml:space="preserve">— </w: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t>1</w: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end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TrueTypeFonts/>
  <w:saveSubset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TgyMjdlOWNkMzNiOTU1YTIxNGY0NTI3MThiYmQ1M2UifQ=="/>
  </w:docVars>
  <w:rsids>
    <w:rsidRoot w:val="00172A27"/>
    <w:rsid w:val="0000629B"/>
    <w:rsid w:val="000A2DA4"/>
    <w:rsid w:val="000E2437"/>
    <w:rsid w:val="001471EF"/>
    <w:rsid w:val="00172A27"/>
    <w:rsid w:val="00211493"/>
    <w:rsid w:val="004462D7"/>
    <w:rsid w:val="004D584A"/>
    <w:rsid w:val="006751E9"/>
    <w:rsid w:val="00794875"/>
    <w:rsid w:val="00845B2A"/>
    <w:rsid w:val="00904241"/>
    <w:rsid w:val="00911A9A"/>
    <w:rsid w:val="00A13AE8"/>
    <w:rsid w:val="00A2003C"/>
    <w:rsid w:val="00AA2007"/>
    <w:rsid w:val="00B15C6A"/>
    <w:rsid w:val="00B56809"/>
    <w:rsid w:val="00B97E38"/>
    <w:rsid w:val="00DB1F8A"/>
    <w:rsid w:val="00DC791B"/>
    <w:rsid w:val="00DD4DF1"/>
    <w:rsid w:val="00E35DAF"/>
    <w:rsid w:val="00E8190C"/>
    <w:rsid w:val="00EC1AB1"/>
    <w:rsid w:val="01265D4D"/>
    <w:rsid w:val="017528D1"/>
    <w:rsid w:val="03950208"/>
    <w:rsid w:val="058A70A3"/>
    <w:rsid w:val="05F87AE3"/>
    <w:rsid w:val="072B4A07"/>
    <w:rsid w:val="073C2715"/>
    <w:rsid w:val="077D38CF"/>
    <w:rsid w:val="095A2369"/>
    <w:rsid w:val="0A574BC7"/>
    <w:rsid w:val="0D447276"/>
    <w:rsid w:val="0DC16351"/>
    <w:rsid w:val="0FFB0DFB"/>
    <w:rsid w:val="11EC1CF9"/>
    <w:rsid w:val="122F6012"/>
    <w:rsid w:val="123C676E"/>
    <w:rsid w:val="13CE3F2F"/>
    <w:rsid w:val="13F3280A"/>
    <w:rsid w:val="142B27D4"/>
    <w:rsid w:val="15CC1BB7"/>
    <w:rsid w:val="17E857ED"/>
    <w:rsid w:val="19AF58CD"/>
    <w:rsid w:val="1B412FCB"/>
    <w:rsid w:val="1CE42D20"/>
    <w:rsid w:val="1D8F1E47"/>
    <w:rsid w:val="1E522D7E"/>
    <w:rsid w:val="1F9279CD"/>
    <w:rsid w:val="20801F1B"/>
    <w:rsid w:val="208F4EA2"/>
    <w:rsid w:val="23D26F32"/>
    <w:rsid w:val="26751BF8"/>
    <w:rsid w:val="289D1EF7"/>
    <w:rsid w:val="291B0A33"/>
    <w:rsid w:val="2A2514CB"/>
    <w:rsid w:val="2B57154E"/>
    <w:rsid w:val="2B9101BA"/>
    <w:rsid w:val="2C063C1D"/>
    <w:rsid w:val="2E6C4F08"/>
    <w:rsid w:val="2F024830"/>
    <w:rsid w:val="31DC03C2"/>
    <w:rsid w:val="35C80195"/>
    <w:rsid w:val="35FA5C85"/>
    <w:rsid w:val="38CA2ACC"/>
    <w:rsid w:val="397B7BD7"/>
    <w:rsid w:val="3A8C5632"/>
    <w:rsid w:val="3B366A71"/>
    <w:rsid w:val="3D1B53E0"/>
    <w:rsid w:val="3DAC3EF8"/>
    <w:rsid w:val="40DA19E3"/>
    <w:rsid w:val="43811983"/>
    <w:rsid w:val="447A4D50"/>
    <w:rsid w:val="45AD2F03"/>
    <w:rsid w:val="471D4D03"/>
    <w:rsid w:val="49AD5280"/>
    <w:rsid w:val="49DA5F24"/>
    <w:rsid w:val="4D03023E"/>
    <w:rsid w:val="4DE20017"/>
    <w:rsid w:val="4E7363C4"/>
    <w:rsid w:val="4EE105DE"/>
    <w:rsid w:val="5222789E"/>
    <w:rsid w:val="52534ADA"/>
    <w:rsid w:val="544B6D06"/>
    <w:rsid w:val="54610A55"/>
    <w:rsid w:val="54752E3E"/>
    <w:rsid w:val="54837309"/>
    <w:rsid w:val="551F6321"/>
    <w:rsid w:val="565422CB"/>
    <w:rsid w:val="5729043B"/>
    <w:rsid w:val="58737694"/>
    <w:rsid w:val="594D25DB"/>
    <w:rsid w:val="595B79DA"/>
    <w:rsid w:val="59617E35"/>
    <w:rsid w:val="598130A2"/>
    <w:rsid w:val="5D811128"/>
    <w:rsid w:val="5D82456C"/>
    <w:rsid w:val="5F312AE8"/>
    <w:rsid w:val="622174E0"/>
    <w:rsid w:val="655A5DB5"/>
    <w:rsid w:val="66442BEA"/>
    <w:rsid w:val="66633D42"/>
    <w:rsid w:val="67401089"/>
    <w:rsid w:val="69265FEB"/>
    <w:rsid w:val="6CA44383"/>
    <w:rsid w:val="6D3E5284"/>
    <w:rsid w:val="6F9E54E7"/>
    <w:rsid w:val="702003FA"/>
    <w:rsid w:val="70355D8B"/>
    <w:rsid w:val="705D0BFE"/>
    <w:rsid w:val="727B1B10"/>
    <w:rsid w:val="72F26162"/>
    <w:rsid w:val="731D499B"/>
    <w:rsid w:val="789E1EC3"/>
    <w:rsid w:val="7BE14791"/>
    <w:rsid w:val="7BE757E3"/>
    <w:rsid w:val="7DFE15A8"/>
    <w:rsid w:val="7E6B2A38"/>
    <w:rsid w:val="7F6851CA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2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qFormat="1" w:uiPriority="99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8">
    <w:name w:val="Default Paragraph Font"/>
    <w:autoRedefine/>
    <w:semiHidden/>
    <w:unhideWhenUsed/>
    <w:qFormat/>
    <w:uiPriority w:val="1"/>
  </w:style>
  <w:style w:type="table" w:default="1" w:styleId="7">
    <w:name w:val="Normal Table"/>
    <w:autoRedefine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Acetate"/>
    <w:basedOn w:val="1"/>
    <w:semiHidden/>
    <w:qFormat/>
    <w:uiPriority w:val="0"/>
    <w:pPr>
      <w:widowControl/>
    </w:pPr>
    <w:rPr>
      <w:rFonts w:cs="Times New Roman"/>
      <w:sz w:val="18"/>
      <w:szCs w:val="18"/>
    </w:rPr>
  </w:style>
  <w:style w:type="paragraph" w:styleId="3">
    <w:name w:val="Body Text"/>
    <w:basedOn w:val="1"/>
    <w:autoRedefine/>
    <w:unhideWhenUsed/>
    <w:qFormat/>
    <w:uiPriority w:val="99"/>
    <w:pPr>
      <w:spacing w:after="120"/>
    </w:pPr>
  </w:style>
  <w:style w:type="paragraph" w:styleId="4">
    <w:name w:val="footer"/>
    <w:basedOn w:val="1"/>
    <w:link w:val="11"/>
    <w:autoRedefine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10"/>
    <w:autoRedefine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6">
    <w:name w:val="Normal (Web)"/>
    <w:basedOn w:val="1"/>
    <w:autoRedefine/>
    <w:qFormat/>
    <w:uiPriority w:val="0"/>
    <w:pPr>
      <w:spacing w:beforeAutospacing="1" w:afterAutospacing="1"/>
      <w:jc w:val="left"/>
    </w:pPr>
    <w:rPr>
      <w:rFonts w:cs="Times New Roman"/>
      <w:kern w:val="0"/>
      <w:sz w:val="24"/>
    </w:rPr>
  </w:style>
  <w:style w:type="character" w:styleId="9">
    <w:name w:val="Strong"/>
    <w:basedOn w:val="8"/>
    <w:autoRedefine/>
    <w:qFormat/>
    <w:uiPriority w:val="0"/>
    <w:rPr>
      <w:b/>
    </w:rPr>
  </w:style>
  <w:style w:type="character" w:customStyle="1" w:styleId="10">
    <w:name w:val="页眉 Char"/>
    <w:basedOn w:val="8"/>
    <w:link w:val="5"/>
    <w:autoRedefine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  <w:style w:type="character" w:customStyle="1" w:styleId="11">
    <w:name w:val="页脚 Char"/>
    <w:basedOn w:val="8"/>
    <w:link w:val="4"/>
    <w:autoRedefine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  <w:style w:type="paragraph" w:customStyle="1" w:styleId="12">
    <w:name w:val="列出段落1"/>
    <w:basedOn w:val="1"/>
    <w:autoRedefine/>
    <w:qFormat/>
    <w:uiPriority w:val="34"/>
    <w:pPr>
      <w:ind w:firstLine="420" w:firstLineChars="200"/>
    </w:pPr>
  </w:style>
  <w:style w:type="paragraph" w:customStyle="1" w:styleId="13">
    <w:name w:val="列出段落"/>
    <w:basedOn w:val="1"/>
    <w:autoRedefine/>
    <w:qFormat/>
    <w:uiPriority w:val="34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Microsoft</Company>
  <Pages>10</Pages>
  <Words>3734</Words>
  <Characters>3840</Characters>
  <Lines>9</Lines>
  <Paragraphs>2</Paragraphs>
  <TotalTime>1</TotalTime>
  <ScaleCrop>false</ScaleCrop>
  <LinksUpToDate>false</LinksUpToDate>
  <CharactersWithSpaces>3900</CharactersWithSpaces>
  <Application>WPS Office_12.1.0.16729_F1E327BC-269C-435d-A152-05C5408002CA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2024-11-01T08:58:00Z</dcterms:created>
  <dc:creator>冰雪</dc:creator>
  <cp:lastModifiedBy>Administrator</cp:lastModifiedBy>
  <cp:lastPrinted>2025-04-24T08:04:33Z</cp:lastPrinted>
  <dcterms:modified xsi:type="dcterms:W3CDTF">2025-04-24T08:04:53Z</dcterms:modified>
  <cp:revision>15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2052-12.1.0.16729</vt:lpwstr>
  </property>
  <property fmtid="{D5CDD505-2E9C-101B-9397-08002B2CF9AE}" pid="3" name="ICV">
    <vt:lpwstr>1B38087FB57E4D91A51CA0DBCBDC1FAC_13</vt:lpwstr>
  </property>
  <property fmtid="{D5CDD505-2E9C-101B-9397-08002B2CF9AE}" pid="4" name="KSOTemplateDocerSaveRecord">
    <vt:lpwstr>eyJoZGlkIjoiZmRkNzhkNTczOWY0NzRkNzgxNzAyODZlNzU3YmIwOWEiLCJ1c2VySWQiOiI0MTA4NDc3MTMifQ==</vt:lpwstr>
  </property>
</Properties>
</file>