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安农〔2024〕53号</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安溪县农业农村局关于印发《安溪绿色低碳</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茶园碳汇监测核算与示范评估项目</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申报指南》的通知</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default" w:ascii="仿宋_GB2312" w:eastAsia="仿宋_GB2312" w:cs="AngsanaUPC"/>
          <w:color w:val="auto"/>
          <w:sz w:val="32"/>
          <w:szCs w:val="32"/>
          <w:lang w:val="en-US" w:eastAsia="zh-CN"/>
        </w:rPr>
      </w:pPr>
      <w:r>
        <w:rPr>
          <w:rFonts w:hint="eastAsia" w:ascii="仿宋_GB2312" w:eastAsia="仿宋_GB2312" w:cs="AngsanaUPC"/>
          <w:color w:val="auto"/>
          <w:sz w:val="32"/>
          <w:szCs w:val="32"/>
          <w:lang w:val="en-US" w:eastAsia="zh-CN"/>
        </w:rPr>
        <w:t>各乡镇：</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仿宋_GB2312" w:eastAsia="仿宋_GB2312" w:cs="AngsanaUPC"/>
          <w:color w:val="auto"/>
          <w:sz w:val="32"/>
          <w:szCs w:val="32"/>
          <w:lang w:val="en-US" w:eastAsia="zh-CN"/>
        </w:rPr>
      </w:pPr>
      <w:r>
        <w:rPr>
          <w:rFonts w:hint="eastAsia" w:ascii="方正小标宋简体" w:eastAsia="方正小标宋简体"/>
          <w:color w:val="auto"/>
          <w:sz w:val="44"/>
          <w:szCs w:val="44"/>
          <w:lang w:val="en-US" w:eastAsia="zh-CN"/>
        </w:rPr>
        <w:t xml:space="preserve"> </w:t>
      </w:r>
      <w:r>
        <w:rPr>
          <w:rFonts w:hint="eastAsia" w:ascii="仿宋_GB2312" w:eastAsia="仿宋_GB2312" w:cs="AngsanaUPC"/>
          <w:color w:val="auto"/>
          <w:sz w:val="32"/>
          <w:szCs w:val="32"/>
          <w:lang w:val="en-US" w:eastAsia="zh-CN"/>
        </w:rPr>
        <w:t xml:space="preserve">   为做好我县国家农业绿色发展先行区发展工作，根据福建省财政厅、福建省农业农村厅《</w:t>
      </w:r>
      <w:r>
        <w:rPr>
          <w:rFonts w:hint="default" w:ascii="仿宋_GB2312" w:eastAsia="仿宋_GB2312" w:cs="AngsanaUPC"/>
          <w:color w:val="auto"/>
          <w:sz w:val="32"/>
          <w:szCs w:val="32"/>
          <w:lang w:val="en-US" w:eastAsia="zh-CN"/>
        </w:rPr>
        <w:t>关于下达 2024 年农业资源与生态保护(农业可持续发展试验示范区)专项资金预算的通知</w:t>
      </w:r>
      <w:r>
        <w:rPr>
          <w:rFonts w:hint="eastAsia" w:ascii="仿宋_GB2312" w:eastAsia="仿宋_GB2312" w:cs="AngsanaUPC"/>
          <w:color w:val="auto"/>
          <w:sz w:val="32"/>
          <w:szCs w:val="32"/>
          <w:lang w:val="en-US" w:eastAsia="zh-CN"/>
        </w:rPr>
        <w:t>》（闽财农指</w:t>
      </w:r>
      <w:r>
        <w:rPr>
          <w:rFonts w:hint="default" w:ascii="仿宋_GB2312" w:eastAsia="仿宋_GB2312" w:cs="AngsanaUPC"/>
          <w:color w:val="auto"/>
          <w:sz w:val="32"/>
          <w:szCs w:val="32"/>
          <w:lang w:val="en-US" w:eastAsia="zh-CN"/>
        </w:rPr>
        <w:t>〔</w:t>
      </w:r>
      <w:r>
        <w:rPr>
          <w:rFonts w:hint="eastAsia" w:ascii="仿宋_GB2312" w:eastAsia="仿宋_GB2312" w:cs="AngsanaUPC"/>
          <w:color w:val="auto"/>
          <w:sz w:val="32"/>
          <w:szCs w:val="32"/>
          <w:lang w:val="en-US" w:eastAsia="zh-CN"/>
        </w:rPr>
        <w:t>2024</w:t>
      </w:r>
      <w:r>
        <w:rPr>
          <w:rFonts w:hint="default" w:ascii="仿宋_GB2312" w:eastAsia="仿宋_GB2312" w:cs="AngsanaUPC"/>
          <w:color w:val="auto"/>
          <w:sz w:val="32"/>
          <w:szCs w:val="32"/>
          <w:lang w:val="en-US" w:eastAsia="zh-CN"/>
        </w:rPr>
        <w:t>〕</w:t>
      </w:r>
      <w:r>
        <w:rPr>
          <w:rFonts w:hint="eastAsia" w:ascii="仿宋_GB2312" w:eastAsia="仿宋_GB2312" w:cs="AngsanaUPC"/>
          <w:color w:val="auto"/>
          <w:sz w:val="32"/>
          <w:szCs w:val="32"/>
          <w:lang w:val="en-US" w:eastAsia="zh-CN"/>
        </w:rPr>
        <w:t>49号）相关要求，重点支持开展试点示范、探索性项目，现印发《安溪绿色低碳茶园碳汇监测核算与示范评估项目申报指南》给你们，请推荐适合条件的茶企，于6月27日前上报县农业农村局。</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仿宋_GB2312" w:eastAsia="仿宋_GB2312" w:cs="AngsanaUPC"/>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1600" w:leftChars="0" w:right="0" w:rightChars="0" w:hanging="1600" w:hangingChars="500"/>
        <w:jc w:val="both"/>
        <w:textAlignment w:val="auto"/>
        <w:outlineLvl w:val="9"/>
        <w:rPr>
          <w:rFonts w:hint="eastAsia" w:ascii="方正小标宋简体" w:eastAsia="方正小标宋简体"/>
          <w:color w:val="auto"/>
          <w:sz w:val="44"/>
          <w:szCs w:val="44"/>
        </w:rPr>
      </w:pPr>
      <w:r>
        <w:rPr>
          <w:rFonts w:hint="eastAsia" w:ascii="仿宋_GB2312" w:eastAsia="仿宋_GB2312" w:cs="AngsanaUPC"/>
          <w:color w:val="auto"/>
          <w:sz w:val="32"/>
          <w:szCs w:val="32"/>
          <w:lang w:val="en-US" w:eastAsia="zh-CN"/>
        </w:rPr>
        <w:t xml:space="preserve">    附件：安溪绿色低碳茶园碳汇监测核算与示范评估项目申报指南</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default" w:ascii="仿宋_GB2312" w:eastAsia="仿宋_GB2312" w:cs="AngsanaUPC"/>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default" w:ascii="仿宋_GB2312" w:eastAsia="仿宋_GB2312" w:cs="AngsanaUPC"/>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仿宋_GB2312" w:eastAsia="仿宋_GB2312" w:cs="AngsanaUPC"/>
          <w:color w:val="auto"/>
          <w:sz w:val="32"/>
          <w:szCs w:val="32"/>
          <w:lang w:val="en-US" w:eastAsia="zh-CN"/>
        </w:rPr>
      </w:pPr>
      <w:r>
        <w:rPr>
          <w:rFonts w:hint="eastAsia" w:ascii="仿宋_GB2312" w:eastAsia="仿宋_GB2312" w:cs="AngsanaUPC"/>
          <w:color w:val="auto"/>
          <w:sz w:val="32"/>
          <w:szCs w:val="32"/>
          <w:lang w:val="en-US" w:eastAsia="zh-CN"/>
        </w:rPr>
        <w:t xml:space="preserve">                             安溪县农业农村局</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default" w:ascii="仿宋_GB2312" w:eastAsia="仿宋_GB2312" w:cs="AngsanaUPC"/>
          <w:color w:val="auto"/>
          <w:sz w:val="32"/>
          <w:szCs w:val="32"/>
          <w:lang w:val="en-US" w:eastAsia="zh-CN"/>
        </w:rPr>
      </w:pPr>
      <w:r>
        <w:rPr>
          <w:rFonts w:hint="eastAsia" w:ascii="仿宋_GB2312" w:eastAsia="仿宋_GB2312" w:cs="AngsanaUPC"/>
          <w:color w:val="auto"/>
          <w:sz w:val="32"/>
          <w:szCs w:val="32"/>
          <w:lang w:val="en-US" w:eastAsia="zh-CN"/>
        </w:rPr>
        <w:t xml:space="preserve">                              2024年6月20日</w:t>
      </w: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s="AngsanaUPC"/>
          <w:color w:val="auto"/>
          <w:sz w:val="32"/>
          <w:szCs w:val="32"/>
          <w:lang w:eastAsia="zh-CN"/>
        </w:rPr>
      </w:pP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s="AngsanaUPC"/>
          <w:color w:val="auto"/>
          <w:sz w:val="32"/>
          <w:szCs w:val="32"/>
          <w:lang w:eastAsia="zh-CN"/>
        </w:rPr>
      </w:pPr>
      <w:r>
        <w:rPr>
          <w:rFonts w:hint="eastAsia" w:ascii="仿宋_GB2312" w:eastAsia="仿宋_GB2312" w:cs="AngsanaUPC"/>
          <w:color w:val="auto"/>
          <w:sz w:val="32"/>
          <w:szCs w:val="32"/>
          <w:lang w:eastAsia="zh-CN"/>
        </w:rPr>
        <w:t>（此件公开发布）</w:t>
      </w: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s="AngsanaUPC"/>
          <w:color w:val="auto"/>
          <w:sz w:val="32"/>
          <w:szCs w:val="32"/>
          <w:lang w:eastAsia="zh-CN"/>
        </w:rPr>
      </w:pPr>
    </w:p>
    <w:p>
      <w:pPr>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color w:val="auto"/>
          <w:sz w:val="32"/>
          <w:szCs w:val="32"/>
          <w:lang w:val="en-US" w:eastAsia="zh-CN"/>
        </w:rPr>
      </w:pPr>
      <w:r>
        <w:rPr>
          <w:rFonts w:hint="eastAsia" w:ascii="仿宋_GB2312" w:eastAsia="仿宋_GB2312" w:cs="AngsanaUPC"/>
          <w:color w:val="auto"/>
          <w:sz w:val="32"/>
          <w:szCs w:val="32"/>
          <w:lang w:eastAsia="zh-CN"/>
        </w:rPr>
        <w:br w:type="page"/>
      </w:r>
      <w:r>
        <w:rPr>
          <w:rFonts w:hint="eastAsia" w:ascii="黑体" w:hAnsi="黑体" w:eastAsia="黑体" w:cs="黑体"/>
          <w:color w:val="auto"/>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auto"/>
        <w:outlineLvl w:val="9"/>
        <w:rPr>
          <w:rFonts w:hint="eastAsia" w:ascii="方正小标宋简体" w:eastAsia="方正小标宋简体"/>
          <w:color w:val="auto"/>
          <w:sz w:val="44"/>
          <w:szCs w:val="44"/>
          <w:lang w:val="en-US" w:eastAsia="zh-CN"/>
        </w:rPr>
      </w:pPr>
      <w:r>
        <w:rPr>
          <w:rFonts w:hint="eastAsia" w:ascii="方正小标宋简体" w:eastAsia="方正小标宋简体"/>
          <w:color w:val="auto"/>
          <w:sz w:val="44"/>
          <w:szCs w:val="44"/>
          <w:lang w:val="en-US" w:eastAsia="zh-CN"/>
        </w:rPr>
        <w:t>安溪绿色低碳茶园碳汇监测核算与示范</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auto"/>
        <w:outlineLvl w:val="9"/>
        <w:rPr>
          <w:rFonts w:hint="eastAsia" w:ascii="方正小标宋简体" w:eastAsia="方正小标宋简体"/>
          <w:color w:val="auto"/>
          <w:sz w:val="44"/>
          <w:szCs w:val="44"/>
        </w:rPr>
      </w:pPr>
      <w:r>
        <w:rPr>
          <w:rFonts w:hint="eastAsia" w:ascii="方正小标宋简体" w:eastAsia="方正小标宋简体"/>
          <w:color w:val="auto"/>
          <w:sz w:val="44"/>
          <w:szCs w:val="44"/>
          <w:lang w:val="en-US" w:eastAsia="zh-CN"/>
        </w:rPr>
        <w:t>评估</w:t>
      </w:r>
      <w:r>
        <w:rPr>
          <w:rFonts w:hint="eastAsia" w:ascii="方正小标宋简体" w:eastAsia="方正小标宋简体"/>
          <w:color w:val="auto"/>
          <w:sz w:val="44"/>
          <w:szCs w:val="44"/>
        </w:rPr>
        <w:t>项目</w:t>
      </w:r>
      <w:r>
        <w:rPr>
          <w:rFonts w:hint="eastAsia" w:ascii="方正小标宋简体" w:eastAsia="方正小标宋简体"/>
          <w:color w:val="auto"/>
          <w:sz w:val="44"/>
          <w:szCs w:val="44"/>
          <w:lang w:eastAsia="zh-CN"/>
        </w:rPr>
        <w:t>申报指南</w:t>
      </w: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eastAsia="黑体" w:cs="黑体"/>
          <w:bCs/>
          <w:color w:val="auto"/>
          <w:sz w:val="32"/>
          <w:szCs w:val="32"/>
          <w:lang w:bidi="ar-SA"/>
        </w:rPr>
      </w:pPr>
      <w:r>
        <w:rPr>
          <w:rFonts w:hint="eastAsia" w:ascii="黑体" w:eastAsia="黑体" w:cs="黑体"/>
          <w:bCs/>
          <w:color w:val="auto"/>
          <w:sz w:val="32"/>
          <w:szCs w:val="32"/>
          <w:lang w:bidi="ar-SA"/>
        </w:rPr>
        <w:t>项目目标</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eastAsia="仿宋_GB2312" w:cs="AngsanaUPC"/>
          <w:color w:val="auto"/>
          <w:sz w:val="32"/>
          <w:szCs w:val="32"/>
        </w:rPr>
      </w:pPr>
      <w:r>
        <w:rPr>
          <w:rFonts w:hint="eastAsia" w:ascii="仿宋_GB2312" w:eastAsia="仿宋_GB2312" w:cs="AngsanaUPC"/>
          <w:color w:val="auto"/>
          <w:sz w:val="32"/>
          <w:szCs w:val="32"/>
          <w:lang w:val="en-US" w:eastAsia="zh-CN"/>
        </w:rPr>
        <w:t>通过建设</w:t>
      </w:r>
      <w:r>
        <w:rPr>
          <w:rFonts w:hint="eastAsia" w:ascii="仿宋_GB2312" w:eastAsia="仿宋_GB2312" w:cs="AngsanaUPC"/>
          <w:color w:val="auto"/>
          <w:sz w:val="32"/>
          <w:szCs w:val="32"/>
        </w:rPr>
        <w:t>茶园碳汇监测核算</w:t>
      </w:r>
      <w:r>
        <w:rPr>
          <w:rFonts w:hint="eastAsia" w:ascii="仿宋_GB2312" w:eastAsia="仿宋_GB2312" w:cs="AngsanaUPC"/>
          <w:color w:val="auto"/>
          <w:sz w:val="32"/>
          <w:szCs w:val="32"/>
          <w:lang w:val="en-US" w:eastAsia="zh-CN"/>
        </w:rPr>
        <w:t>示范点，</w:t>
      </w:r>
      <w:r>
        <w:rPr>
          <w:rFonts w:hint="eastAsia" w:ascii="仿宋_GB2312" w:eastAsia="仿宋_GB2312" w:cs="AngsanaUPC"/>
          <w:color w:val="auto"/>
          <w:sz w:val="32"/>
          <w:szCs w:val="32"/>
        </w:rPr>
        <w:t>开展不同</w:t>
      </w:r>
      <w:r>
        <w:rPr>
          <w:rFonts w:hint="eastAsia" w:ascii="仿宋_GB2312" w:eastAsia="仿宋_GB2312" w:cs="AngsanaUPC"/>
          <w:color w:val="auto"/>
          <w:sz w:val="32"/>
          <w:szCs w:val="32"/>
          <w:lang w:eastAsia="zh-CN"/>
        </w:rPr>
        <w:t>低碳</w:t>
      </w:r>
      <w:r>
        <w:rPr>
          <w:rFonts w:hint="eastAsia" w:ascii="仿宋_GB2312" w:eastAsia="仿宋_GB2312" w:cs="AngsanaUPC"/>
          <w:color w:val="auto"/>
          <w:sz w:val="32"/>
          <w:szCs w:val="32"/>
        </w:rPr>
        <w:t>管理模式下的茶园碳汇监测核算，量化不同</w:t>
      </w:r>
      <w:r>
        <w:rPr>
          <w:rFonts w:hint="eastAsia" w:ascii="仿宋_GB2312" w:eastAsia="仿宋_GB2312" w:cs="AngsanaUPC"/>
          <w:color w:val="auto"/>
          <w:sz w:val="32"/>
          <w:szCs w:val="32"/>
          <w:lang w:eastAsia="zh-CN"/>
        </w:rPr>
        <w:t>茶园碳</w:t>
      </w:r>
      <w:r>
        <w:rPr>
          <w:rFonts w:hint="eastAsia" w:ascii="仿宋_GB2312" w:eastAsia="仿宋_GB2312" w:cs="AngsanaUPC"/>
          <w:color w:val="auto"/>
          <w:sz w:val="32"/>
          <w:szCs w:val="32"/>
        </w:rPr>
        <w:t>减排差异</w:t>
      </w:r>
      <w:r>
        <w:rPr>
          <w:rFonts w:hint="eastAsia" w:ascii="仿宋_GB2312" w:eastAsia="仿宋_GB2312" w:cs="AngsanaUPC"/>
          <w:color w:val="auto"/>
          <w:sz w:val="32"/>
          <w:szCs w:val="32"/>
          <w:lang w:eastAsia="zh-CN"/>
        </w:rPr>
        <w:t>、碳</w:t>
      </w:r>
      <w:r>
        <w:rPr>
          <w:rFonts w:hint="eastAsia" w:ascii="仿宋_GB2312" w:eastAsia="仿宋_GB2312" w:cs="AngsanaUPC"/>
          <w:color w:val="auto"/>
          <w:sz w:val="32"/>
          <w:szCs w:val="32"/>
        </w:rPr>
        <w:t>源汇特征及其植被环境因子差异，进而评估和优化茶园的低碳管理措施，为未来低碳茶园研究开拓路径，促进低碳茶园建设</w:t>
      </w:r>
      <w:r>
        <w:rPr>
          <w:rFonts w:hint="eastAsia" w:ascii="仿宋_GB2312" w:eastAsia="仿宋_GB2312" w:cs="AngsanaUPC"/>
          <w:color w:val="auto"/>
          <w:sz w:val="32"/>
          <w:szCs w:val="32"/>
          <w:lang w:eastAsia="zh-CN"/>
        </w:rPr>
        <w:t>，带动</w:t>
      </w:r>
      <w:r>
        <w:rPr>
          <w:rFonts w:hint="eastAsia" w:ascii="仿宋_GB2312" w:eastAsia="仿宋_GB2312" w:cs="AngsanaUPC"/>
          <w:color w:val="auto"/>
          <w:sz w:val="32"/>
          <w:szCs w:val="32"/>
          <w:lang w:val="en-US" w:eastAsia="zh-CN"/>
        </w:rPr>
        <w:t>茶园基地</w:t>
      </w:r>
      <w:r>
        <w:rPr>
          <w:rFonts w:hint="eastAsia" w:ascii="仿宋_GB2312" w:eastAsia="仿宋_GB2312" w:cs="AngsanaUPC"/>
          <w:color w:val="auto"/>
          <w:sz w:val="32"/>
          <w:szCs w:val="32"/>
          <w:lang w:eastAsia="zh-CN"/>
        </w:rPr>
        <w:t>产生较大的经济效益和社会效益，</w:t>
      </w:r>
      <w:r>
        <w:rPr>
          <w:rFonts w:hint="eastAsia" w:ascii="仿宋_GB2312" w:eastAsia="仿宋_GB2312" w:cs="AngsanaUPC"/>
          <w:color w:val="auto"/>
          <w:sz w:val="32"/>
          <w:szCs w:val="32"/>
          <w:lang w:val="en-US" w:eastAsia="zh-CN"/>
        </w:rPr>
        <w:t>推动安溪茶</w:t>
      </w:r>
      <w:r>
        <w:rPr>
          <w:rFonts w:hint="eastAsia" w:ascii="仿宋_GB2312" w:eastAsia="仿宋_GB2312" w:cs="AngsanaUPC"/>
          <w:color w:val="auto"/>
          <w:sz w:val="32"/>
          <w:szCs w:val="32"/>
        </w:rPr>
        <w:t>业</w:t>
      </w:r>
      <w:r>
        <w:rPr>
          <w:rFonts w:hint="eastAsia" w:ascii="仿宋_GB2312" w:eastAsia="仿宋_GB2312" w:cs="AngsanaUPC"/>
          <w:color w:val="auto"/>
          <w:sz w:val="32"/>
          <w:szCs w:val="32"/>
          <w:lang w:val="en-US" w:eastAsia="zh-CN"/>
        </w:rPr>
        <w:t>高质量</w:t>
      </w:r>
      <w:r>
        <w:rPr>
          <w:rFonts w:hint="eastAsia" w:ascii="仿宋_GB2312" w:eastAsia="仿宋_GB2312" w:cs="AngsanaUPC"/>
          <w:color w:val="auto"/>
          <w:sz w:val="32"/>
          <w:szCs w:val="32"/>
        </w:rPr>
        <w:t>发展。</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eastAsia="黑体" w:cs="黑体"/>
          <w:bCs/>
          <w:color w:val="auto"/>
          <w:sz w:val="32"/>
          <w:szCs w:val="32"/>
          <w:lang w:bidi="ar-SA"/>
        </w:rPr>
      </w:pPr>
      <w:r>
        <w:rPr>
          <w:rFonts w:hint="eastAsia" w:ascii="黑体" w:eastAsia="黑体" w:cs="黑体"/>
          <w:bCs/>
          <w:color w:val="auto"/>
          <w:sz w:val="32"/>
          <w:szCs w:val="32"/>
          <w:lang w:bidi="ar-SA"/>
        </w:rPr>
        <w:t>二、</w:t>
      </w:r>
      <w:r>
        <w:rPr>
          <w:rFonts w:hint="eastAsia" w:ascii="黑体" w:eastAsia="黑体" w:cs="黑体"/>
          <w:bCs/>
          <w:color w:val="auto"/>
          <w:sz w:val="32"/>
          <w:szCs w:val="32"/>
          <w:lang w:eastAsia="zh-CN" w:bidi="ar-SA"/>
        </w:rPr>
        <w:t>建设</w:t>
      </w:r>
      <w:r>
        <w:rPr>
          <w:rFonts w:hint="eastAsia" w:ascii="黑体" w:eastAsia="黑体" w:cs="黑体"/>
          <w:bCs/>
          <w:color w:val="auto"/>
          <w:sz w:val="32"/>
          <w:szCs w:val="32"/>
          <w:lang w:bidi="ar-SA"/>
        </w:rPr>
        <w:t>内容</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仿宋_GB2312" w:eastAsia="仿宋_GB2312" w:cs="AngsanaUPC"/>
          <w:color w:val="auto"/>
          <w:sz w:val="32"/>
          <w:szCs w:val="32"/>
        </w:rPr>
      </w:pPr>
      <w:r>
        <w:rPr>
          <w:rFonts w:hint="eastAsia" w:ascii="仿宋_GB2312" w:eastAsia="仿宋_GB2312" w:cs="AngsanaUPC"/>
          <w:color w:val="auto"/>
          <w:sz w:val="32"/>
          <w:szCs w:val="32"/>
          <w:lang w:val="en-US" w:eastAsia="zh-CN"/>
        </w:rPr>
        <w:t>建设生态低碳茶园碳汇监测核算示范点1个：以生态绿色低碳茶园为基础，开展不同生态低碳管理模式茶园种植试验，对各生态模式下的碳排放、土壤、植被等指标进行野外监测采样，核算不同茶园碳排放差异、碳源汇特征及其植被环境因子差异，</w:t>
      </w:r>
      <w:r>
        <w:rPr>
          <w:rFonts w:ascii="仿宋_GB2312" w:eastAsia="仿宋_GB2312" w:cs="AngsanaUPC"/>
          <w:color w:val="auto"/>
          <w:sz w:val="32"/>
          <w:szCs w:val="32"/>
        </w:rPr>
        <w:t>整体评价成果鉴定</w:t>
      </w:r>
      <w:r>
        <w:rPr>
          <w:rFonts w:ascii="仿宋_GB2312" w:eastAsia="仿宋_GB2312"/>
          <w:color w:val="auto"/>
          <w:sz w:val="32"/>
          <w:szCs w:val="32"/>
          <w:lang w:eastAsia="zh-CN"/>
        </w:rPr>
        <w:t>、示范</w:t>
      </w:r>
      <w:r>
        <w:rPr>
          <w:rFonts w:ascii="仿宋_GB2312" w:eastAsia="仿宋_GB2312" w:cs="AngsanaUPC"/>
          <w:color w:val="auto"/>
          <w:sz w:val="32"/>
          <w:szCs w:val="32"/>
        </w:rPr>
        <w:t>推广等。</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eastAsia="黑体" w:cs="黑体"/>
          <w:bCs/>
          <w:color w:val="auto"/>
          <w:sz w:val="32"/>
          <w:szCs w:val="32"/>
          <w:lang w:bidi="ar-SA"/>
        </w:rPr>
      </w:pPr>
      <w:r>
        <w:rPr>
          <w:rFonts w:hint="eastAsia" w:ascii="黑体" w:eastAsia="黑体" w:cs="黑体"/>
          <w:bCs/>
          <w:color w:val="auto"/>
          <w:sz w:val="32"/>
          <w:szCs w:val="32"/>
          <w:lang w:bidi="ar-SA"/>
        </w:rPr>
        <w:t>三、申报</w:t>
      </w:r>
      <w:r>
        <w:rPr>
          <w:rFonts w:hint="eastAsia" w:ascii="黑体" w:eastAsia="黑体" w:cs="黑体"/>
          <w:bCs/>
          <w:color w:val="auto"/>
          <w:sz w:val="32"/>
          <w:szCs w:val="32"/>
          <w:lang w:eastAsia="zh-CN" w:bidi="ar-SA"/>
        </w:rPr>
        <w:t>条件</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eastAsia="仿宋_GB2312"/>
          <w:color w:val="auto"/>
          <w:sz w:val="32"/>
          <w:szCs w:val="32"/>
          <w:lang w:val="en-US" w:eastAsia="zh-CN"/>
        </w:rPr>
      </w:pPr>
      <w:r>
        <w:rPr>
          <w:rFonts w:ascii="仿宋_GB2312" w:eastAsia="仿宋_GB2312"/>
          <w:color w:val="auto"/>
          <w:sz w:val="32"/>
          <w:szCs w:val="32"/>
          <w:lang w:eastAsia="zh-CN"/>
        </w:rPr>
        <w:t>1</w:t>
      </w:r>
      <w:r>
        <w:rPr>
          <w:rFonts w:hint="eastAsia" w:ascii="仿宋_GB2312" w:eastAsia="仿宋_GB2312"/>
          <w:color w:val="auto"/>
          <w:sz w:val="32"/>
          <w:szCs w:val="32"/>
          <w:lang w:eastAsia="zh-CN"/>
        </w:rPr>
        <w:t>.曾获评安溪县十佳茶园；</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eastAsia="仿宋_GB2312" w:cs="AngsanaUPC"/>
          <w:color w:val="auto"/>
          <w:sz w:val="32"/>
          <w:szCs w:val="32"/>
          <w:lang w:val="en-US" w:eastAsia="zh-CN"/>
        </w:rPr>
      </w:pPr>
      <w:r>
        <w:rPr>
          <w:rFonts w:hint="eastAsia" w:ascii="仿宋_GB2312" w:eastAsia="仿宋_GB2312"/>
          <w:color w:val="auto"/>
          <w:sz w:val="32"/>
          <w:szCs w:val="32"/>
          <w:lang w:val="en-US" w:eastAsia="zh-CN"/>
        </w:rPr>
        <w:t>2.茶园基地为</w:t>
      </w:r>
      <w:r>
        <w:rPr>
          <w:rFonts w:hint="eastAsia" w:ascii="仿宋_GB2312" w:eastAsia="仿宋_GB2312" w:cs="AngsanaUPC"/>
          <w:color w:val="auto"/>
          <w:sz w:val="32"/>
          <w:szCs w:val="32"/>
          <w:lang w:val="en-US" w:eastAsia="zh-CN"/>
        </w:rPr>
        <w:t>生态绿色有机茶园、不使用化学农药等；</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eastAsia="仿宋_GB2312" w:cs="AngsanaUPC"/>
          <w:color w:val="auto"/>
          <w:sz w:val="32"/>
          <w:szCs w:val="32"/>
          <w:lang w:val="en-US" w:eastAsia="zh-CN"/>
        </w:rPr>
      </w:pPr>
      <w:r>
        <w:rPr>
          <w:rFonts w:hint="eastAsia" w:ascii="仿宋_GB2312" w:eastAsia="仿宋_GB2312" w:cs="AngsanaUPC"/>
          <w:color w:val="auto"/>
          <w:sz w:val="32"/>
          <w:szCs w:val="32"/>
          <w:lang w:val="en-US" w:eastAsia="zh-CN"/>
        </w:rPr>
        <w:t>3.具备较好的农业物联网条件；</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eastAsia="仿宋_GB2312"/>
          <w:color w:val="auto"/>
          <w:sz w:val="32"/>
          <w:szCs w:val="32"/>
          <w:lang w:val="en-US" w:eastAsia="zh-CN"/>
        </w:rPr>
      </w:pPr>
      <w:r>
        <w:rPr>
          <w:rFonts w:ascii="仿宋_GB2312" w:eastAsia="仿宋_GB2312"/>
          <w:color w:val="auto"/>
          <w:sz w:val="32"/>
          <w:szCs w:val="32"/>
        </w:rPr>
        <w:t>4</w:t>
      </w:r>
      <w:r>
        <w:rPr>
          <w:rFonts w:hint="eastAsia" w:ascii="仿宋_GB2312" w:eastAsia="仿宋_GB2312"/>
          <w:color w:val="auto"/>
          <w:sz w:val="32"/>
          <w:szCs w:val="32"/>
          <w:lang w:val="en-US" w:eastAsia="zh-CN"/>
        </w:rPr>
        <w:t>.茶园基地交通便利、便于项目示范推广；</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5.自愿主动实施，能聘请有资质的低碳科研院所参与项目实施并提供技术合作协议。</w:t>
      </w:r>
    </w:p>
    <w:p>
      <w:pPr>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eastAsia="黑体" w:cs="黑体"/>
          <w:bCs/>
          <w:color w:val="auto"/>
          <w:sz w:val="32"/>
          <w:szCs w:val="32"/>
          <w:lang w:bidi="ar-SA"/>
        </w:rPr>
      </w:pPr>
      <w:r>
        <w:rPr>
          <w:rFonts w:hint="eastAsia" w:ascii="黑体" w:eastAsia="黑体" w:cs="黑体"/>
          <w:bCs/>
          <w:color w:val="auto"/>
          <w:sz w:val="32"/>
          <w:szCs w:val="32"/>
          <w:lang w:eastAsia="zh-CN" w:bidi="ar-SA"/>
        </w:rPr>
        <w:t>资金</w:t>
      </w:r>
      <w:r>
        <w:rPr>
          <w:rFonts w:hint="eastAsia" w:ascii="黑体" w:eastAsia="黑体" w:cs="黑体"/>
          <w:bCs/>
          <w:color w:val="auto"/>
          <w:sz w:val="32"/>
          <w:szCs w:val="32"/>
          <w:lang w:bidi="ar-SA"/>
        </w:rPr>
        <w:t>补助标准</w:t>
      </w: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rPr>
          <w:rFonts w:hint="eastAsia" w:ascii="仿宋_GB2312" w:hAnsi="Times New Roman" w:eastAsia="仿宋_GB2312" w:cs="Times New Roman"/>
          <w:b w:val="0"/>
          <w:color w:val="auto"/>
          <w:kern w:val="2"/>
          <w:sz w:val="32"/>
          <w:szCs w:val="32"/>
          <w:lang w:val="en-US" w:eastAsia="zh-CN" w:bidi="ar-SA"/>
        </w:rPr>
      </w:pPr>
      <w:r>
        <w:rPr>
          <w:rFonts w:hint="eastAsia" w:ascii="仿宋_GB2312" w:hAnsi="Times New Roman" w:eastAsia="仿宋_GB2312" w:cs="Times New Roman"/>
          <w:b w:val="0"/>
          <w:color w:val="auto"/>
          <w:kern w:val="2"/>
          <w:sz w:val="32"/>
          <w:szCs w:val="32"/>
          <w:lang w:val="en-US" w:eastAsia="zh-CN" w:bidi="ar-SA"/>
        </w:rPr>
        <w:t>拟安排补助资金65万元，资金主要补助环节为：聘请第三方科研院校技术专家开展绿色低碳茶园碳汇监测核算与示范评估（包括材料购置、测试化验加工等）、开展茶园种植试验、技术合作及成果鉴定、示范推广等。</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eastAsia="黑体" w:cs="黑体"/>
          <w:bCs/>
          <w:color w:val="auto"/>
          <w:sz w:val="32"/>
          <w:szCs w:val="32"/>
          <w:lang w:bidi="ar-SA"/>
        </w:rPr>
      </w:pPr>
      <w:r>
        <w:rPr>
          <w:rFonts w:hint="eastAsia" w:ascii="黑体" w:eastAsia="黑体" w:cs="黑体"/>
          <w:bCs/>
          <w:color w:val="auto"/>
          <w:sz w:val="32"/>
          <w:szCs w:val="32"/>
          <w:lang w:bidi="ar-SA"/>
        </w:rPr>
        <w:t>五、申报程序和要求</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eastAsia="仿宋_GB2312"/>
          <w:b/>
          <w:color w:val="auto"/>
          <w:sz w:val="32"/>
          <w:szCs w:val="32"/>
        </w:rPr>
      </w:pPr>
      <w:r>
        <w:rPr>
          <w:rFonts w:hint="eastAsia" w:ascii="仿宋_GB2312" w:eastAsia="仿宋_GB2312"/>
          <w:color w:val="auto"/>
          <w:sz w:val="32"/>
          <w:szCs w:val="32"/>
        </w:rPr>
        <w:t>申报项目</w:t>
      </w:r>
      <w:r>
        <w:rPr>
          <w:rFonts w:hint="eastAsia" w:ascii="仿宋_GB2312" w:eastAsia="仿宋_GB2312"/>
          <w:color w:val="auto"/>
          <w:sz w:val="32"/>
          <w:szCs w:val="32"/>
          <w:lang w:eastAsia="zh-CN"/>
        </w:rPr>
        <w:t>由申报企业填写项目申报书（</w:t>
      </w:r>
      <w:r>
        <w:rPr>
          <w:rFonts w:hint="eastAsia" w:ascii="仿宋_GB2312" w:eastAsia="仿宋_GB2312"/>
          <w:color w:val="auto"/>
          <w:sz w:val="32"/>
          <w:szCs w:val="32"/>
        </w:rPr>
        <w:t>格式附</w:t>
      </w:r>
      <w:r>
        <w:rPr>
          <w:rFonts w:hint="eastAsia" w:ascii="仿宋_GB2312" w:eastAsia="仿宋_GB2312"/>
          <w:color w:val="auto"/>
          <w:sz w:val="32"/>
          <w:szCs w:val="32"/>
          <w:lang w:eastAsia="zh-CN"/>
        </w:rPr>
        <w:t>后</w:t>
      </w:r>
      <w:r>
        <w:rPr>
          <w:rFonts w:hint="eastAsia" w:ascii="仿宋_GB2312" w:eastAsia="仿宋_GB2312"/>
          <w:color w:val="auto"/>
          <w:sz w:val="32"/>
          <w:szCs w:val="32"/>
        </w:rPr>
        <w:t>）</w:t>
      </w:r>
      <w:r>
        <w:rPr>
          <w:rFonts w:hint="eastAsia" w:ascii="仿宋_GB2312" w:eastAsia="仿宋_GB2312"/>
          <w:color w:val="auto"/>
          <w:sz w:val="32"/>
          <w:szCs w:val="32"/>
          <w:lang w:eastAsia="zh-CN"/>
        </w:rPr>
        <w:t>，经</w:t>
      </w:r>
      <w:r>
        <w:rPr>
          <w:rFonts w:hint="eastAsia" w:ascii="仿宋_GB2312" w:eastAsia="仿宋_GB2312"/>
          <w:color w:val="auto"/>
          <w:sz w:val="32"/>
          <w:szCs w:val="32"/>
          <w:lang w:val="en-US" w:eastAsia="zh-CN"/>
        </w:rPr>
        <w:t>所在乡镇初</w:t>
      </w:r>
      <w:r>
        <w:rPr>
          <w:rFonts w:hint="eastAsia" w:ascii="仿宋_GB2312" w:eastAsia="仿宋_GB2312"/>
          <w:color w:val="auto"/>
          <w:sz w:val="32"/>
          <w:szCs w:val="32"/>
          <w:lang w:eastAsia="zh-CN"/>
        </w:rPr>
        <w:t>审</w:t>
      </w:r>
      <w:r>
        <w:rPr>
          <w:rFonts w:hint="eastAsia" w:ascii="仿宋_GB2312" w:eastAsia="仿宋_GB2312"/>
          <w:color w:val="auto"/>
          <w:sz w:val="32"/>
          <w:szCs w:val="32"/>
          <w:lang w:val="en-US" w:eastAsia="zh-CN"/>
        </w:rPr>
        <w:t>后</w:t>
      </w:r>
      <w:r>
        <w:rPr>
          <w:rFonts w:hint="eastAsia" w:ascii="仿宋_GB2312" w:eastAsia="仿宋_GB2312"/>
          <w:color w:val="auto"/>
          <w:sz w:val="32"/>
          <w:szCs w:val="32"/>
        </w:rPr>
        <w:t>上报</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最迟请于6月27日前上报至县农业农村局能源站，经县农业农村局把关核定后</w:t>
      </w:r>
      <w:r>
        <w:rPr>
          <w:rFonts w:hint="eastAsia" w:ascii="仿宋_GB2312" w:eastAsia="仿宋_GB2312"/>
          <w:color w:val="auto"/>
          <w:sz w:val="32"/>
          <w:szCs w:val="32"/>
          <w:lang w:eastAsia="zh-CN"/>
        </w:rPr>
        <w:t>，将项目情况报</w:t>
      </w:r>
      <w:r>
        <w:rPr>
          <w:rFonts w:hint="eastAsia" w:ascii="仿宋_GB2312" w:eastAsia="仿宋_GB2312"/>
          <w:color w:val="auto"/>
          <w:sz w:val="32"/>
          <w:szCs w:val="32"/>
          <w:lang w:val="en-US" w:eastAsia="zh-CN"/>
        </w:rPr>
        <w:t>送市农业农村局、</w:t>
      </w:r>
      <w:r>
        <w:rPr>
          <w:rFonts w:hint="eastAsia" w:ascii="仿宋_GB2312" w:eastAsia="仿宋_GB2312"/>
          <w:color w:val="auto"/>
          <w:sz w:val="32"/>
          <w:szCs w:val="32"/>
        </w:rPr>
        <w:t>省农业农村厅</w:t>
      </w:r>
      <w:r>
        <w:rPr>
          <w:rFonts w:hint="eastAsia" w:ascii="仿宋_GB2312" w:eastAsia="仿宋_GB2312"/>
          <w:color w:val="auto"/>
          <w:sz w:val="32"/>
          <w:szCs w:val="32"/>
          <w:lang w:eastAsia="zh-CN"/>
        </w:rPr>
        <w:t>有关处室</w:t>
      </w:r>
      <w:r>
        <w:rPr>
          <w:rFonts w:hint="eastAsia" w:ascii="仿宋_GB2312" w:eastAsia="仿宋_GB2312"/>
          <w:color w:val="auto"/>
          <w:sz w:val="32"/>
          <w:szCs w:val="32"/>
          <w:lang w:val="en-US" w:eastAsia="zh-CN"/>
        </w:rPr>
        <w:t>备案</w:t>
      </w:r>
      <w:r>
        <w:rPr>
          <w:rFonts w:hint="eastAsia" w:ascii="仿宋_GB2312" w:eastAsia="仿宋_GB2312"/>
          <w:color w:val="auto"/>
          <w:sz w:val="32"/>
          <w:szCs w:val="32"/>
        </w:rPr>
        <w:t>。</w:t>
      </w:r>
      <w:r>
        <w:rPr>
          <w:rFonts w:hint="eastAsia" w:ascii="仿宋_GB2312" w:eastAsia="仿宋_GB2312"/>
          <w:color w:val="auto"/>
          <w:sz w:val="32"/>
          <w:szCs w:val="32"/>
          <w:lang w:eastAsia="zh-CN"/>
        </w:rPr>
        <w:t>选定的申报企业在一年内要完成项目实施内容，</w:t>
      </w:r>
      <w:r>
        <w:rPr>
          <w:rFonts w:hint="eastAsia" w:ascii="仿宋_GB2312" w:eastAsia="仿宋_GB2312"/>
          <w:color w:val="auto"/>
          <w:sz w:val="32"/>
          <w:szCs w:val="32"/>
        </w:rPr>
        <w:t>项目完成后及时上报总结</w:t>
      </w:r>
      <w:r>
        <w:rPr>
          <w:rFonts w:hint="eastAsia" w:ascii="仿宋_GB2312" w:eastAsia="仿宋_GB2312"/>
          <w:color w:val="auto"/>
          <w:sz w:val="32"/>
          <w:szCs w:val="32"/>
          <w:lang w:eastAsia="zh-CN"/>
        </w:rPr>
        <w:t>及验收</w:t>
      </w:r>
      <w:r>
        <w:rPr>
          <w:rFonts w:hint="eastAsia" w:ascii="仿宋_GB2312" w:eastAsia="仿宋_GB2312"/>
          <w:color w:val="auto"/>
          <w:sz w:val="32"/>
          <w:szCs w:val="32"/>
        </w:rPr>
        <w:t>材料。</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eastAsia="仿宋_GB2312"/>
          <w:color w:val="auto"/>
          <w:sz w:val="32"/>
          <w:szCs w:val="32"/>
        </w:rPr>
      </w:pP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eastAsia="仿宋_GB2312"/>
          <w:b/>
          <w:color w:val="auto"/>
          <w:sz w:val="32"/>
          <w:szCs w:val="32"/>
          <w:lang w:val="en-US"/>
        </w:rPr>
      </w:pPr>
      <w:r>
        <w:rPr>
          <w:rFonts w:hint="eastAsia" w:ascii="仿宋_GB2312" w:eastAsia="仿宋_GB2312"/>
          <w:color w:val="auto"/>
          <w:sz w:val="32"/>
          <w:szCs w:val="32"/>
        </w:rPr>
        <w:t>联系人：</w:t>
      </w:r>
      <w:r>
        <w:rPr>
          <w:rFonts w:hint="eastAsia" w:ascii="仿宋_GB2312" w:eastAsia="仿宋_GB2312"/>
          <w:color w:val="auto"/>
          <w:sz w:val="32"/>
          <w:szCs w:val="32"/>
          <w:lang w:val="en-US" w:eastAsia="zh-CN"/>
        </w:rPr>
        <w:t>翁木森</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联系电话：</w:t>
      </w:r>
      <w:r>
        <w:rPr>
          <w:rFonts w:hint="eastAsia" w:ascii="仿宋_GB2312" w:eastAsia="仿宋_GB2312"/>
          <w:color w:val="auto"/>
          <w:sz w:val="32"/>
          <w:szCs w:val="32"/>
          <w:lang w:val="en-US" w:eastAsia="zh-CN"/>
        </w:rPr>
        <w:t>0595-68792202</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eastAsia="方正小标宋简体"/>
          <w:color w:val="auto"/>
          <w:sz w:val="40"/>
          <w:szCs w:val="40"/>
          <w:lang w:val="en-US" w:eastAsia="zh-CN"/>
        </w:rPr>
      </w:pPr>
      <w:r>
        <w:rPr>
          <w:rFonts w:ascii="宋体" w:eastAsia="宋体" w:cs="宋体"/>
          <w:b/>
          <w:bCs/>
          <w:color w:val="auto"/>
          <w:sz w:val="44"/>
          <w:szCs w:val="44"/>
          <w:lang w:bidi="ar-SA"/>
        </w:rPr>
        <w:br w:type="page"/>
      </w:r>
      <w:r>
        <w:rPr>
          <w:rFonts w:hint="eastAsia" w:ascii="方正小标宋简体" w:eastAsia="方正小标宋简体" w:cs="宋体"/>
          <w:color w:val="auto"/>
          <w:sz w:val="40"/>
          <w:szCs w:val="40"/>
          <w:lang w:bidi="ar-SA"/>
        </w:rPr>
        <w:t>202</w:t>
      </w:r>
      <w:r>
        <w:rPr>
          <w:rFonts w:hint="eastAsia" w:ascii="方正小标宋简体" w:eastAsia="方正小标宋简体" w:cs="宋体"/>
          <w:color w:val="auto"/>
          <w:sz w:val="40"/>
          <w:szCs w:val="40"/>
          <w:lang w:val="en-US" w:eastAsia="zh-CN" w:bidi="ar-SA"/>
        </w:rPr>
        <w:t>4</w:t>
      </w:r>
      <w:r>
        <w:rPr>
          <w:rFonts w:hint="eastAsia" w:ascii="方正小标宋简体" w:eastAsia="方正小标宋简体" w:cs="宋体"/>
          <w:color w:val="auto"/>
          <w:sz w:val="40"/>
          <w:szCs w:val="40"/>
          <w:lang w:bidi="ar-SA"/>
        </w:rPr>
        <w:t>年</w:t>
      </w:r>
      <w:r>
        <w:rPr>
          <w:rFonts w:hint="eastAsia" w:ascii="方正小标宋简体" w:eastAsia="方正小标宋简体"/>
          <w:color w:val="auto"/>
          <w:sz w:val="40"/>
          <w:szCs w:val="40"/>
          <w:lang w:val="en-US" w:eastAsia="zh-CN"/>
        </w:rPr>
        <w:t>安溪绿色低碳茶园碳汇监测核算</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宋体" w:eastAsia="宋体" w:cs="宋体"/>
          <w:b/>
          <w:bCs/>
          <w:color w:val="auto"/>
          <w:sz w:val="40"/>
          <w:szCs w:val="40"/>
          <w:lang w:bidi="ar-SA"/>
        </w:rPr>
      </w:pPr>
      <w:r>
        <w:rPr>
          <w:rFonts w:hint="eastAsia" w:ascii="方正小标宋简体" w:eastAsia="方正小标宋简体"/>
          <w:color w:val="auto"/>
          <w:sz w:val="40"/>
          <w:szCs w:val="40"/>
          <w:lang w:val="en-US" w:eastAsia="zh-CN"/>
        </w:rPr>
        <w:t>与示范评估</w:t>
      </w:r>
      <w:r>
        <w:rPr>
          <w:rFonts w:hint="eastAsia" w:ascii="方正小标宋简体" w:eastAsia="方正小标宋简体" w:cs="宋体"/>
          <w:color w:val="auto"/>
          <w:sz w:val="40"/>
          <w:szCs w:val="40"/>
          <w:lang w:eastAsia="zh-CN" w:bidi="ar-SA"/>
        </w:rPr>
        <w:t>项目</w:t>
      </w:r>
      <w:r>
        <w:rPr>
          <w:rFonts w:hint="eastAsia" w:ascii="方正小标宋简体" w:eastAsia="方正小标宋简体" w:cs="宋体"/>
          <w:color w:val="auto"/>
          <w:sz w:val="40"/>
          <w:szCs w:val="40"/>
          <w:lang w:bidi="ar-SA"/>
        </w:rPr>
        <w:t>申报书</w:t>
      </w:r>
    </w:p>
    <w:p>
      <w:pPr>
        <w:pageBreakBefore w:val="0"/>
        <w:widowControl w:val="0"/>
        <w:kinsoku/>
        <w:wordWrap/>
        <w:overflowPunct/>
        <w:topLinePunct w:val="0"/>
        <w:autoSpaceDE/>
        <w:autoSpaceDN/>
        <w:bidi w:val="0"/>
        <w:adjustRightInd/>
        <w:spacing w:line="560" w:lineRule="exact"/>
        <w:ind w:firstLine="1200" w:firstLineChars="400"/>
        <w:textAlignment w:val="auto"/>
        <w:rPr>
          <w:rFonts w:hint="eastAsia" w:ascii="仿宋_GB2312" w:eastAsia="仿宋_GB2312"/>
          <w:color w:val="auto"/>
          <w:sz w:val="30"/>
        </w:rPr>
      </w:pPr>
    </w:p>
    <w:p>
      <w:pPr>
        <w:pageBreakBefore w:val="0"/>
        <w:widowControl w:val="0"/>
        <w:kinsoku/>
        <w:wordWrap/>
        <w:overflowPunct/>
        <w:topLinePunct w:val="0"/>
        <w:autoSpaceDE/>
        <w:autoSpaceDN/>
        <w:bidi w:val="0"/>
        <w:adjustRightInd/>
        <w:spacing w:line="560" w:lineRule="exact"/>
        <w:ind w:firstLine="1200" w:firstLineChars="400"/>
        <w:textAlignment w:val="auto"/>
        <w:rPr>
          <w:rFonts w:hint="eastAsia" w:ascii="仿宋_GB2312" w:eastAsia="仿宋_GB2312"/>
          <w:color w:val="auto"/>
          <w:sz w:val="30"/>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项   目   名  称：</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eastAsia="zh-CN"/>
        </w:rPr>
        <w:t>项</w:t>
      </w: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目</w:t>
      </w:r>
      <w:r>
        <w:rPr>
          <w:rFonts w:hint="eastAsia" w:ascii="仿宋_GB2312" w:eastAsia="仿宋_GB2312"/>
          <w:color w:val="auto"/>
          <w:sz w:val="32"/>
          <w:szCs w:val="32"/>
        </w:rPr>
        <w:t xml:space="preserve">   单  位：</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项目单位法人代表：</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项目单位联 系 人：</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联   系   电  话：</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通   讯   地  址：</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邮   政   编  码：</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所在乡镇政府</w:t>
      </w:r>
      <w:r>
        <w:rPr>
          <w:rFonts w:hint="eastAsia" w:ascii="仿宋_GB2312" w:eastAsia="仿宋_GB2312"/>
          <w:color w:val="auto"/>
          <w:sz w:val="32"/>
          <w:szCs w:val="32"/>
        </w:rPr>
        <w:t>（单 位）：</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所在乡镇政府</w:t>
      </w:r>
      <w:r>
        <w:rPr>
          <w:rFonts w:hint="eastAsia" w:ascii="仿宋_GB2312" w:eastAsia="仿宋_GB2312"/>
          <w:color w:val="auto"/>
          <w:sz w:val="32"/>
          <w:szCs w:val="32"/>
        </w:rPr>
        <w:t>联 系 人：</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联   系   电  话：</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97" w:firstLineChars="218"/>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E - MAIL：</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olor w:val="auto"/>
          <w:sz w:val="32"/>
          <w:szCs w:val="32"/>
        </w:rPr>
      </w:pP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olor w:val="auto"/>
          <w:sz w:val="32"/>
          <w:szCs w:val="32"/>
        </w:rPr>
      </w:pP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olor w:val="auto"/>
          <w:sz w:val="32"/>
          <w:szCs w:val="32"/>
        </w:rPr>
      </w:pPr>
    </w:p>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 w:val="0"/>
          <w:bCs/>
          <w:color w:val="auto"/>
          <w:sz w:val="32"/>
          <w:szCs w:val="32"/>
          <w:lang w:val="en-US" w:eastAsia="zh-CN"/>
        </w:rPr>
      </w:pPr>
    </w:p>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 w:val="0"/>
          <w:bCs/>
          <w:color w:val="auto"/>
          <w:sz w:val="32"/>
          <w:szCs w:val="32"/>
          <w:lang w:val="en-US" w:eastAsia="zh-CN"/>
        </w:rPr>
      </w:pPr>
    </w:p>
    <w:p>
      <w:pPr>
        <w:pageBreakBefore w:val="0"/>
        <w:widowControl w:val="0"/>
        <w:kinsoku/>
        <w:wordWrap/>
        <w:overflowPunct/>
        <w:topLinePunct w:val="0"/>
        <w:autoSpaceDE/>
        <w:autoSpaceDN/>
        <w:bidi w:val="0"/>
        <w:adjustRightInd/>
        <w:spacing w:line="560" w:lineRule="exact"/>
        <w:jc w:val="center"/>
        <w:textAlignment w:val="auto"/>
        <w:rPr>
          <w:rFonts w:hint="eastAsia" w:ascii="黑体" w:eastAsia="黑体"/>
          <w:color w:val="auto"/>
          <w:sz w:val="32"/>
          <w:szCs w:val="32"/>
        </w:rPr>
      </w:pPr>
      <w:r>
        <w:rPr>
          <w:rFonts w:hint="eastAsia" w:ascii="仿宋_GB2312" w:eastAsia="仿宋_GB2312"/>
          <w:b w:val="0"/>
          <w:bCs/>
          <w:color w:val="auto"/>
          <w:sz w:val="32"/>
          <w:szCs w:val="32"/>
          <w:lang w:val="en-US" w:eastAsia="zh-CN"/>
        </w:rPr>
        <w:t>安溪县</w:t>
      </w:r>
      <w:r>
        <w:rPr>
          <w:rFonts w:hint="eastAsia" w:ascii="仿宋_GB2312" w:eastAsia="仿宋_GB2312"/>
          <w:b w:val="0"/>
          <w:bCs/>
          <w:color w:val="auto"/>
          <w:sz w:val="32"/>
          <w:szCs w:val="32"/>
        </w:rPr>
        <w:t>农业农村</w:t>
      </w:r>
      <w:r>
        <w:rPr>
          <w:rFonts w:hint="eastAsia" w:ascii="仿宋_GB2312" w:eastAsia="仿宋_GB2312"/>
          <w:b w:val="0"/>
          <w:bCs/>
          <w:color w:val="auto"/>
          <w:sz w:val="32"/>
          <w:szCs w:val="32"/>
          <w:lang w:val="en-US" w:eastAsia="zh-CN"/>
        </w:rPr>
        <w:t>局</w:t>
      </w:r>
      <w:r>
        <w:rPr>
          <w:rFonts w:hint="eastAsia" w:ascii="仿宋_GB2312" w:eastAsia="仿宋_GB2312"/>
          <w:b w:val="0"/>
          <w:bCs/>
          <w:color w:val="auto"/>
          <w:sz w:val="32"/>
          <w:szCs w:val="32"/>
        </w:rPr>
        <w:t>制</w:t>
      </w:r>
    </w:p>
    <w:p>
      <w:pPr>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eastAsia="黑体"/>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一、</w:t>
      </w:r>
      <w:r>
        <w:rPr>
          <w:rFonts w:hint="eastAsia" w:ascii="黑体" w:hAnsi="黑体" w:eastAsia="黑体" w:cs="黑体"/>
          <w:b w:val="0"/>
          <w:bCs/>
          <w:color w:val="auto"/>
          <w:sz w:val="32"/>
          <w:szCs w:val="32"/>
        </w:rPr>
        <w:t>项目单位基本情况和承担项目的优势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b/>
          <w:color w:val="auto"/>
          <w:sz w:val="32"/>
          <w:szCs w:val="32"/>
        </w:rPr>
      </w:pPr>
      <w:r>
        <w:rPr>
          <w:rFonts w:hint="eastAsia" w:ascii="仿宋_GB2312" w:eastAsia="仿宋_GB2312"/>
          <w:color w:val="auto"/>
          <w:sz w:val="32"/>
          <w:szCs w:val="32"/>
        </w:rPr>
        <w:t>（一）包括：单位性质和隶属关系、单位主要职能或业务范围；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（二）承担项目的主要优势：技术力量、基础条件等。（项目申报单位应针对所申报的具体项目说明承担的条件优势及有关情况）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二、项目实施地点与规模、实施内容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三、项目技术措施和组织保障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四、项目实施步骤及时间进度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五、经济效益分析</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六、经费概算</w:t>
      </w:r>
    </w:p>
    <w:tbl>
      <w:tblPr>
        <w:tblStyle w:val="8"/>
        <w:tblW w:w="87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7"/>
        <w:gridCol w:w="2610"/>
        <w:gridCol w:w="2151"/>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restart"/>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资金用途</w:t>
            </w: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具体用途</w:t>
            </w: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金额（万元）</w:t>
            </w:r>
          </w:p>
        </w:tc>
        <w:tc>
          <w:tcPr>
            <w:tcW w:w="235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restart"/>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637"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c>
          <w:tcPr>
            <w:tcW w:w="2610"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合计</w:t>
            </w:r>
          </w:p>
        </w:tc>
        <w:tc>
          <w:tcPr>
            <w:tcW w:w="2151"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2"/>
                <w:szCs w:val="32"/>
              </w:rPr>
            </w:pPr>
          </w:p>
        </w:tc>
        <w:tc>
          <w:tcPr>
            <w:tcW w:w="2350" w:type="dxa"/>
            <w:vMerge w:val="continue"/>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color w:val="auto"/>
              </w:rPr>
            </w:pPr>
          </w:p>
        </w:tc>
      </w:tr>
    </w:tbl>
    <w:p>
      <w:pPr>
        <w:pageBreakBefore w:val="0"/>
        <w:widowControl w:val="0"/>
        <w:kinsoku/>
        <w:wordWrap/>
        <w:overflowPunct/>
        <w:topLinePunct w:val="0"/>
        <w:autoSpaceDE/>
        <w:autoSpaceDN/>
        <w:bidi w:val="0"/>
        <w:adjustRightInd/>
        <w:spacing w:line="560" w:lineRule="exact"/>
        <w:ind w:firstLine="636" w:firstLineChars="198"/>
        <w:textAlignment w:val="auto"/>
        <w:rPr>
          <w:rFonts w:hint="eastAsia" w:ascii="仿宋_GB2312" w:eastAsia="仿宋_GB2312"/>
          <w:b/>
          <w:color w:val="auto"/>
          <w:sz w:val="32"/>
          <w:szCs w:val="32"/>
        </w:rPr>
      </w:pPr>
    </w:p>
    <w:p>
      <w:pPr>
        <w:pageBreakBefore w:val="0"/>
        <w:widowControl w:val="0"/>
        <w:kinsoku/>
        <w:wordWrap/>
        <w:overflowPunct/>
        <w:topLinePunct w:val="0"/>
        <w:autoSpaceDE/>
        <w:autoSpaceDN/>
        <w:bidi w:val="0"/>
        <w:adjustRightInd/>
        <w:spacing w:line="560" w:lineRule="exact"/>
        <w:ind w:firstLine="636" w:firstLineChars="198"/>
        <w:textAlignment w:val="auto"/>
        <w:rPr>
          <w:rFonts w:hint="eastAsia" w:ascii="仿宋_GB2312" w:eastAsia="仿宋_GB2312"/>
          <w:b/>
          <w:color w:val="auto"/>
          <w:sz w:val="32"/>
          <w:szCs w:val="32"/>
        </w:rPr>
      </w:pPr>
    </w:p>
    <w:p>
      <w:pPr>
        <w:pageBreakBefore w:val="0"/>
        <w:widowControl w:val="0"/>
        <w:kinsoku/>
        <w:wordWrap/>
        <w:overflowPunct/>
        <w:topLinePunct w:val="0"/>
        <w:autoSpaceDE/>
        <w:autoSpaceDN/>
        <w:bidi w:val="0"/>
        <w:adjustRightInd/>
        <w:spacing w:line="560" w:lineRule="exact"/>
        <w:ind w:firstLine="636" w:firstLineChars="198"/>
        <w:textAlignment w:val="auto"/>
        <w:rPr>
          <w:rFonts w:hint="eastAsia" w:ascii="仿宋_GB2312" w:eastAsia="仿宋_GB2312"/>
          <w:b/>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八、项目人员组成</w:t>
      </w:r>
    </w:p>
    <w:tbl>
      <w:tblPr>
        <w:tblStyle w:val="8"/>
        <w:tblW w:w="92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1473"/>
        <w:gridCol w:w="1472"/>
        <w:gridCol w:w="1472"/>
        <w:gridCol w:w="1472"/>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4"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姓名</w:t>
            </w:r>
          </w:p>
        </w:tc>
        <w:tc>
          <w:tcPr>
            <w:tcW w:w="1473"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年龄</w:t>
            </w:r>
          </w:p>
        </w:tc>
        <w:tc>
          <w:tcPr>
            <w:tcW w:w="1472"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工作单位</w:t>
            </w:r>
          </w:p>
        </w:tc>
        <w:tc>
          <w:tcPr>
            <w:tcW w:w="1472"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职务/职称</w:t>
            </w:r>
          </w:p>
        </w:tc>
        <w:tc>
          <w:tcPr>
            <w:tcW w:w="1472"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项目工作分工</w:t>
            </w:r>
          </w:p>
        </w:tc>
        <w:tc>
          <w:tcPr>
            <w:tcW w:w="1722"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4"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3"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72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4"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3"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72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24"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3"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72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4"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3"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72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4"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3"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47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c>
          <w:tcPr>
            <w:tcW w:w="1722"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tc>
      </w:tr>
    </w:tbl>
    <w:p>
      <w:pPr>
        <w:keepNext w:val="0"/>
        <w:keepLines w:val="0"/>
        <w:pageBreakBefore w:val="0"/>
        <w:widowControl w:val="0"/>
        <w:kinsoku/>
        <w:wordWrap/>
        <w:overflowPunct/>
        <w:topLinePunct w:val="0"/>
        <w:autoSpaceDE/>
        <w:autoSpaceDN/>
        <w:bidi w:val="0"/>
        <w:adjustRightInd/>
        <w:snapToGrid/>
        <w:spacing w:line="560" w:lineRule="exact"/>
        <w:ind w:left="0" w:right="0" w:firstLine="633" w:firstLineChars="198"/>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九、申请单位及主管部门意见</w:t>
      </w:r>
    </w:p>
    <w:tbl>
      <w:tblPr>
        <w:tblStyle w:val="8"/>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7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1" w:hRule="atLeast"/>
          <w:jc w:val="center"/>
        </w:trPr>
        <w:tc>
          <w:tcPr>
            <w:tcW w:w="1859"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项目单位</w:t>
            </w:r>
          </w:p>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意见</w:t>
            </w:r>
          </w:p>
        </w:tc>
        <w:tc>
          <w:tcPr>
            <w:tcW w:w="7429" w:type="dxa"/>
            <w:tcBorders>
              <w:tl2br w:val="nil"/>
              <w:tr2bl w:val="nil"/>
            </w:tcBorders>
          </w:tcPr>
          <w:p>
            <w:pPr>
              <w:pageBreakBefore w:val="0"/>
              <w:widowControl w:val="0"/>
              <w:kinsoku/>
              <w:wordWrap/>
              <w:overflowPunct/>
              <w:topLinePunct w:val="0"/>
              <w:autoSpaceDE/>
              <w:autoSpaceDN/>
              <w:bidi w:val="0"/>
              <w:adjustRightInd/>
              <w:spacing w:line="560" w:lineRule="exact"/>
              <w:ind w:firstLine="600" w:firstLineChars="200"/>
              <w:textAlignment w:val="auto"/>
              <w:rPr>
                <w:rFonts w:hint="eastAsia" w:ascii="仿宋_GB2312" w:eastAsia="仿宋_GB2312"/>
                <w:color w:val="auto"/>
                <w:sz w:val="30"/>
                <w:szCs w:val="30"/>
              </w:rPr>
            </w:pPr>
            <w:r>
              <w:rPr>
                <w:rFonts w:hint="eastAsia" w:ascii="仿宋_GB2312" w:eastAsia="仿宋_GB2312"/>
                <w:color w:val="auto"/>
                <w:sz w:val="30"/>
                <w:szCs w:val="30"/>
              </w:rPr>
              <w:t>本单位对以上内容的真实性和准确性负责，特申请立项。</w:t>
            </w: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ind w:firstLine="600" w:firstLineChars="200"/>
              <w:textAlignment w:val="auto"/>
              <w:rPr>
                <w:rFonts w:hint="eastAsia" w:ascii="仿宋_GB2312" w:eastAsia="仿宋_GB2312"/>
                <w:color w:val="auto"/>
                <w:sz w:val="30"/>
                <w:szCs w:val="30"/>
              </w:rPr>
            </w:pPr>
            <w:r>
              <w:rPr>
                <w:rFonts w:hint="eastAsia" w:ascii="仿宋_GB2312" w:eastAsia="仿宋_GB2312"/>
                <w:color w:val="auto"/>
                <w:sz w:val="30"/>
                <w:szCs w:val="30"/>
              </w:rPr>
              <w:t>法人代表签名：           项目单位章：</w:t>
            </w:r>
          </w:p>
          <w:p>
            <w:pPr>
              <w:pageBreakBefore w:val="0"/>
              <w:widowControl w:val="0"/>
              <w:kinsoku/>
              <w:wordWrap/>
              <w:overflowPunct/>
              <w:topLinePunct w:val="0"/>
              <w:autoSpaceDE/>
              <w:autoSpaceDN/>
              <w:bidi w:val="0"/>
              <w:adjustRightInd/>
              <w:spacing w:line="560" w:lineRule="exact"/>
              <w:ind w:firstLine="3450" w:firstLineChars="1150"/>
              <w:textAlignment w:val="auto"/>
              <w:rPr>
                <w:rFonts w:hint="eastAsia" w:ascii="仿宋_GB2312" w:eastAsia="仿宋_GB2312"/>
                <w:color w:val="auto"/>
                <w:sz w:val="30"/>
                <w:szCs w:val="30"/>
              </w:rPr>
            </w:pPr>
            <w:r>
              <w:rPr>
                <w:rFonts w:hint="eastAsia" w:ascii="仿宋_GB2312" w:eastAsia="仿宋_GB2312"/>
                <w:color w:val="auto"/>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5" w:hRule="atLeast"/>
          <w:jc w:val="center"/>
        </w:trPr>
        <w:tc>
          <w:tcPr>
            <w:tcW w:w="1859"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lang w:val="en-US" w:eastAsia="zh-CN"/>
              </w:rPr>
              <w:t>乡镇政府</w:t>
            </w:r>
            <w:r>
              <w:rPr>
                <w:rFonts w:hint="eastAsia" w:ascii="仿宋_GB2312" w:eastAsia="仿宋_GB2312"/>
                <w:color w:val="auto"/>
                <w:sz w:val="30"/>
                <w:szCs w:val="30"/>
              </w:rPr>
              <w:t>审核意见</w:t>
            </w:r>
          </w:p>
        </w:tc>
        <w:tc>
          <w:tcPr>
            <w:tcW w:w="7429" w:type="dxa"/>
            <w:tcBorders>
              <w:tl2br w:val="nil"/>
              <w:tr2bl w:val="nil"/>
            </w:tcBorders>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ind w:firstLine="900" w:firstLineChars="300"/>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ind w:firstLine="900" w:firstLineChars="300"/>
              <w:textAlignment w:val="auto"/>
              <w:rPr>
                <w:rFonts w:hint="eastAsia" w:ascii="仿宋_GB2312" w:eastAsia="仿宋_GB2312"/>
                <w:color w:val="auto"/>
                <w:sz w:val="30"/>
                <w:szCs w:val="30"/>
              </w:rPr>
            </w:pPr>
            <w:r>
              <w:rPr>
                <w:rFonts w:hint="eastAsia" w:ascii="仿宋_GB2312" w:eastAsia="仿宋_GB2312"/>
                <w:color w:val="auto"/>
                <w:sz w:val="30"/>
                <w:szCs w:val="30"/>
              </w:rPr>
              <w:t>负责人签名：            单位公章：</w:t>
            </w:r>
          </w:p>
          <w:p>
            <w:pPr>
              <w:pageBreakBefore w:val="0"/>
              <w:widowControl w:val="0"/>
              <w:kinsoku/>
              <w:wordWrap/>
              <w:overflowPunct/>
              <w:topLinePunct w:val="0"/>
              <w:autoSpaceDE/>
              <w:autoSpaceDN/>
              <w:bidi w:val="0"/>
              <w:adjustRightInd/>
              <w:spacing w:line="560" w:lineRule="exact"/>
              <w:ind w:firstLine="3600" w:firstLineChars="1200"/>
              <w:textAlignment w:val="auto"/>
              <w:rPr>
                <w:rFonts w:hint="eastAsia" w:ascii="仿宋_GB2312" w:eastAsia="仿宋_GB2312"/>
                <w:color w:val="auto"/>
                <w:sz w:val="30"/>
                <w:szCs w:val="30"/>
              </w:rPr>
            </w:pPr>
            <w:r>
              <w:rPr>
                <w:rFonts w:hint="eastAsia" w:ascii="仿宋_GB2312" w:eastAsia="仿宋_GB2312"/>
                <w:color w:val="auto"/>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7" w:hRule="atLeast"/>
          <w:jc w:val="center"/>
        </w:trPr>
        <w:tc>
          <w:tcPr>
            <w:tcW w:w="1859" w:type="dxa"/>
            <w:tcBorders>
              <w:tl2br w:val="nil"/>
              <w:tr2bl w:val="nil"/>
            </w:tcBorders>
            <w:vAlign w:val="center"/>
          </w:tcPr>
          <w:p>
            <w:pPr>
              <w:pageBreakBefore w:val="0"/>
              <w:widowControl w:val="0"/>
              <w:kinsoku/>
              <w:wordWrap/>
              <w:overflowPunct/>
              <w:topLinePunct w:val="0"/>
              <w:autoSpaceDE/>
              <w:autoSpaceDN/>
              <w:bidi w:val="0"/>
              <w:adjustRightInd/>
              <w:spacing w:line="560" w:lineRule="exact"/>
              <w:jc w:val="center"/>
              <w:textAlignment w:val="auto"/>
              <w:rPr>
                <w:rFonts w:hint="eastAsia" w:ascii="仿宋_GB2312" w:hAnsi="Times New Roman" w:eastAsia="仿宋_GB2312" w:cs="Times New Roman"/>
                <w:color w:val="auto"/>
                <w:kern w:val="2"/>
                <w:sz w:val="30"/>
                <w:szCs w:val="30"/>
                <w:lang w:val="en-US" w:eastAsia="zh-CN" w:bidi="ar-SA"/>
              </w:rPr>
            </w:pPr>
            <w:r>
              <w:rPr>
                <w:rFonts w:hint="eastAsia" w:ascii="仿宋_GB2312" w:eastAsia="仿宋_GB2312"/>
                <w:color w:val="auto"/>
                <w:sz w:val="30"/>
                <w:szCs w:val="30"/>
                <w:lang w:val="en-US" w:eastAsia="zh-CN"/>
              </w:rPr>
              <w:t>县级农业农村</w:t>
            </w:r>
            <w:r>
              <w:rPr>
                <w:rFonts w:hint="eastAsia" w:ascii="仿宋_GB2312" w:eastAsia="仿宋_GB2312"/>
                <w:color w:val="auto"/>
                <w:sz w:val="30"/>
                <w:szCs w:val="30"/>
              </w:rPr>
              <w:t>主管部门审核意见</w:t>
            </w:r>
          </w:p>
        </w:tc>
        <w:tc>
          <w:tcPr>
            <w:tcW w:w="7429" w:type="dxa"/>
            <w:tcBorders>
              <w:tl2br w:val="nil"/>
              <w:tr2bl w:val="nil"/>
            </w:tcBorders>
            <w:vAlign w:val="top"/>
          </w:tcPr>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ind w:firstLine="900" w:firstLineChars="300"/>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pacing w:line="560" w:lineRule="exact"/>
              <w:ind w:firstLine="900" w:firstLineChars="300"/>
              <w:textAlignment w:val="auto"/>
              <w:rPr>
                <w:rFonts w:hint="eastAsia" w:ascii="仿宋_GB2312" w:eastAsia="仿宋_GB2312"/>
                <w:color w:val="auto"/>
                <w:sz w:val="30"/>
                <w:szCs w:val="30"/>
              </w:rPr>
            </w:pPr>
            <w:r>
              <w:rPr>
                <w:rFonts w:hint="eastAsia" w:ascii="仿宋_GB2312" w:eastAsia="仿宋_GB2312"/>
                <w:color w:val="auto"/>
                <w:sz w:val="30"/>
                <w:szCs w:val="30"/>
              </w:rPr>
              <w:t>负责人签名：            单位公章：</w:t>
            </w:r>
          </w:p>
          <w:p>
            <w:pPr>
              <w:pageBreakBefore w:val="0"/>
              <w:widowControl w:val="0"/>
              <w:kinsoku/>
              <w:wordWrap/>
              <w:overflowPunct/>
              <w:topLinePunct w:val="0"/>
              <w:autoSpaceDE/>
              <w:autoSpaceDN/>
              <w:bidi w:val="0"/>
              <w:adjustRightInd/>
              <w:spacing w:line="560" w:lineRule="exact"/>
              <w:ind w:firstLine="3600" w:firstLineChars="1200"/>
              <w:textAlignment w:val="auto"/>
              <w:rPr>
                <w:rFonts w:hint="eastAsia" w:ascii="仿宋_GB2312" w:hAnsi="Times New Roman" w:eastAsia="仿宋_GB2312" w:cs="Times New Roman"/>
                <w:color w:val="auto"/>
                <w:kern w:val="2"/>
                <w:sz w:val="30"/>
                <w:szCs w:val="30"/>
                <w:lang w:val="en-US" w:eastAsia="zh-CN" w:bidi="ar-SA"/>
              </w:rPr>
            </w:pPr>
            <w:r>
              <w:rPr>
                <w:rFonts w:hint="eastAsia" w:ascii="仿宋_GB2312" w:eastAsia="仿宋_GB2312"/>
                <w:color w:val="auto"/>
                <w:sz w:val="30"/>
                <w:szCs w:val="30"/>
              </w:rPr>
              <w:t>年   月    日</w:t>
            </w:r>
          </w:p>
        </w:tc>
      </w:tr>
    </w:tbl>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bookmarkStart w:id="0" w:name="_GoBack"/>
      <w:bookmarkEnd w:id="0"/>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pacing w:line="560" w:lineRule="exact"/>
        <w:ind w:firstLine="280" w:firstLineChars="100"/>
        <w:textAlignment w:val="auto"/>
        <w:rPr>
          <w:rFonts w:hint="eastAsia" w:ascii="仿宋_GB2312" w:hAnsi="仿宋_GB2312" w:eastAsia="仿宋_GB2312" w:cs="仿宋_GB2312"/>
          <w:color w:val="auto"/>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412750</wp:posOffset>
                </wp:positionV>
                <wp:extent cx="562927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292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32.5pt;height:0pt;width:443.25pt;z-index:251659264;mso-width-relative:page;mso-height-relative:page;" filled="f" stroked="t" coordsize="21600,21600" o:gfxdata="UEsDBAoAAAAAAIdO4kAAAAAAAAAAAAAAAAAEAAAAZHJzL1BLAwQUAAAACACHTuJACVF0k9QAAAAG&#10;AQAADwAAAGRycy9kb3ducmV2LnhtbE2PvU7DQBCEeyTe4bRINFFyjhGOZXxOAbijIQHRbnyLbeHb&#10;c3yXH3h6FlFAOTujmW/L9dkN6khT6D0bWC4SUMSNtz23Bl629TwHFSKyxcEzGfikAOvq8qLEwvoT&#10;P9NxE1slJRwKNNDFOBZah6Yjh2HhR2Lx3v3kMIqcWm0nPEm5G3SaJJl22LMsdDjSfUfNx+bgDIT6&#10;lfb116yZJW83rad0//D0iMZcXy2TO1CRzvEvDD/4gg6VMO38gW1Qg4FUcgayW3lI3DzPVqB2vwdd&#10;lfo/fvUNUEsDBBQAAAAIAIdO4kA1hHIgvQEAAEwDAAAOAAAAZHJzL2Uyb0RvYy54bWytU81uEzEQ&#10;viP1HSzfyaZbpdBVNj00KhcEkYAHmHjtXUv+k8fNJi/BCyBxgxNH7rwN5TEYO2lK21tFDhN75vM3&#10;/j7Pzi+31rCNjKi9a/npZMqZdMJ32vUt//Tx+uVrzjCB68B4J1u+k8gvFycv5mNoZO0HbzoZGZE4&#10;bMbQ8iGl0FQVikFawIkP0lFR+Wgh0Tb2VRdhJHZrqno6Pa9GH7sQvZCIlF3ui3xR+JWSIr1XCmVi&#10;puV0t1RiLHGdY7WYQ9NHCIMWh2vAM25hQTtqeqRaQgJ2E/UTKqtF9OhVmghvK6+UFrJoIDWn00dq&#10;PgwQZNFC5mA42oT/j1a826wi013LzzhzYOmJbr/8/P35259fXyne/vjOzrJJY8CGsFduFQ87DKuY&#10;FW9VtPmftLBtMXZ3NFZuExOUnJ3XF/WrGWfirlbdHwwR0xvpLcuLlhvtsmZoYPMWEzUj6B0kp52/&#10;1saUdzOOjS2/mNWZGWh6lIFESxtID7qeMzA9jaVIsTCiN7rLpzMPxn59ZSLbQB6N8stCqdsDWG69&#10;BBz2uFI6wIwjdPZl70RerX23KwaVPD1Z4TuMV56Jf/fl9P1HsPg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VF0k9QAAAAGAQAADwAAAAAAAAABACAAAAAiAAAAZHJzL2Rvd25yZXYueG1sUEsBAhQA&#10;FAAAAAgAh07iQDWEciC9AQAATAMAAA4AAAAAAAAAAQAgAAAAIwEAAGRycy9lMm9Eb2MueG1sUEsF&#10;BgAAAAAGAAYAWQEAAFIFAAAAAA==&#10;">
                <v:fill on="f" focussize="0,0"/>
                <v:stroke color="#000000 [3213]" joinstyle="round"/>
                <v:imagedata o:title=""/>
                <o:lock v:ext="edit" aspectratio="f"/>
              </v:line>
            </w:pict>
          </mc:Fallback>
        </mc:AlternateContent>
      </w:r>
      <w:r>
        <w:rPr>
          <w:sz w:val="28"/>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12700</wp:posOffset>
                </wp:positionV>
                <wp:extent cx="5629275" cy="0"/>
                <wp:effectExtent l="0" t="0" r="0" b="0"/>
                <wp:wrapNone/>
                <wp:docPr id="2" name="直接连接符 2"/>
                <wp:cNvGraphicFramePr/>
                <a:graphic xmlns:a="http://schemas.openxmlformats.org/drawingml/2006/main">
                  <a:graphicData uri="http://schemas.microsoft.com/office/word/2010/wordprocessingShape">
                    <wps:wsp>
                      <wps:cNvCnPr/>
                      <wps:spPr>
                        <a:xfrm>
                          <a:off x="937260" y="9271635"/>
                          <a:ext cx="56292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1pt;height:0pt;width:443.25pt;z-index:251658240;mso-width-relative:page;mso-height-relative:page;" filled="f" stroked="t" coordsize="21600,21600" o:gfxdata="UEsDBAoAAAAAAIdO4kAAAAAAAAAAAAAAAAAEAAAAZHJzL1BLAwQUAAAACACHTuJAeB3lrtIAAAAE&#10;AQAADwAAAGRycy9kb3ducmV2LnhtbE2PzU7DMBCE70i8g7VIXCpqN0glCnF6AHLjQgFx3cbbJGq8&#10;TmP3B56ehQtcVhrNaPabcnX2gzrSFPvAFhZzA4q4Ca7n1sLba32Tg4oJ2eEQmCx8UoRVdXlRYuHC&#10;iV/ouE6tkhKOBVroUhoLrWPTkcc4DyOxeNsweUwip1a7CU9S7gedGbPUHnuWDx2O9NBRs1sfvIVY&#10;v9O+/po1M/Nx2wbK9o/PT2jt9dXC3INKdE5/YfjBF3SohGkTDuyiGixkkpMre8TM8+UdqM2v1lWp&#10;/8NX31BLAwQUAAAACACHTuJAEohek8kBAABXAwAADgAAAGRycy9lMm9Eb2MueG1srVNLbtswEN0X&#10;yB0I7mPZCuy0guUsYiSbojXQ9gBjipQI8AcOY9mX6AUKdNeuuuy+t2lyjA5pN+lnV1SL0XBm9Gbe&#10;42h5tbeG7WRE7V3LZ5MpZ9IJ32nXt/zd25vz55xhAteB8U62/CCRX63Oni3H0MjaD950MjICcdiM&#10;oeVDSqGpKhSDtIATH6SjpPLRQqJj7Ksuwkjo1lT1dLqoRh+7EL2QiBRdH5N8VfCVkiK9VgplYqbl&#10;NFsqNha7zbZaLaHpI4RBi9MY8A9TWNCOmj5CrSEBu4v6LyirRfToVZoIbyuvlBaycCA2s+kfbN4M&#10;EGThQuJgeJQJ/x+seLXbRKa7ltecObB0Rfcfvn5//+nh20ey918+szqLNAZsqPbabeLphGETM+O9&#10;ija/iQvbt/zFxWW9IKUP5NaXs8XF/Kix3CcmKD9f1BSfcyaoouhfPWGEiOlWesuy03KjXaYPDexe&#10;YqK+VPqzJIedv9HGlCs0jo3UcV5nZKBFUgYSuTYQNXQ9Z2B62lCRYkFEb3SXv844GPvttYlsB3lL&#10;ypOHpm6/leXWa8DhWFdSpzLjqDpLdBQle1vfHYpWJU63V/BOm5bX49dz+frpf1j9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gd5a7SAAAABAEAAA8AAAAAAAAAAQAgAAAAIgAAAGRycy9kb3ducmV2&#10;LnhtbFBLAQIUABQAAAAIAIdO4kASiF6TyQEAAFcDAAAOAAAAAAAAAAEAIAAAACEBAABkcnMvZTJv&#10;RG9jLnhtbFBLBQYAAAAABgAGAFkBAABcBQAAAAA=&#10;">
                <v:fill on="f" focussize="0,0"/>
                <v:stroke color="#000000 [3213]" joinstyle="round"/>
                <v:imagedata o:title=""/>
                <o:lock v:ext="edit" aspectratio="f"/>
              </v:line>
            </w:pict>
          </mc:Fallback>
        </mc:AlternateContent>
      </w:r>
      <w:r>
        <w:rPr>
          <w:rFonts w:hint="eastAsia" w:ascii="仿宋_GB2312" w:hAnsi="仿宋_GB2312" w:eastAsia="仿宋_GB2312" w:cs="仿宋_GB2312"/>
          <w:color w:val="auto"/>
          <w:sz w:val="28"/>
          <w:szCs w:val="28"/>
          <w:lang w:eastAsia="zh-CN"/>
        </w:rPr>
        <w:t>安溪县农业农村局办公室</w:t>
      </w:r>
      <w:r>
        <w:rPr>
          <w:rFonts w:hint="eastAsia" w:ascii="仿宋_GB2312" w:hAnsi="仿宋_GB2312" w:eastAsia="仿宋_GB2312" w:cs="仿宋_GB2312"/>
          <w:color w:val="auto"/>
          <w:sz w:val="28"/>
          <w:szCs w:val="28"/>
          <w:lang w:val="en-US" w:eastAsia="zh-CN"/>
        </w:rPr>
        <w:t xml:space="preserve">                  2024年6月20日印发</w:t>
      </w:r>
    </w:p>
    <w:sectPr>
      <w:footerReference r:id="rId3" w:type="default"/>
      <w:pgSz w:w="11906" w:h="16838"/>
      <w:pgMar w:top="1701" w:right="1474" w:bottom="1587"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ngsanaUPC">
    <w:altName w:val="Times New Roman"/>
    <w:panose1 w:val="02020603050405020304"/>
    <w:charset w:val="00"/>
    <w:family w:val="auto"/>
    <w:pitch w:val="default"/>
    <w:sig w:usb0="00000000" w:usb1="00000000" w:usb2="00000000" w:usb3="00000000" w:csb0="00010001" w:csb1="00000000"/>
  </w:font>
  <w:font w:name="楷体_GB2312">
    <w:panose1 w:val="02010609030101010101"/>
    <w:charset w:val="86"/>
    <w:family w:val="auto"/>
    <w:pitch w:val="default"/>
    <w:sig w:usb0="00000001" w:usb1="080E0000" w:usb2="00000000" w:usb3="00000000" w:csb0="00040000" w:csb1="00000000"/>
  </w:font>
  <w:font w:name="方正魏碑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spacing w:line="240" w:lineRule="auto"/>
                            <w:ind w:left="105" w:leftChars="50" w:right="105" w:rightChars="50" w:firstLine="0" w:firstLineChars="0"/>
                            <w:jc w:val="left"/>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spacing w:line="240" w:lineRule="auto"/>
                      <w:ind w:left="105" w:leftChars="50" w:right="105" w:rightChars="50" w:firstLine="0" w:firstLineChars="0"/>
                      <w:jc w:val="left"/>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79436A"/>
    <w:multiLevelType w:val="singleLevel"/>
    <w:tmpl w:val="9C79436A"/>
    <w:lvl w:ilvl="0" w:tentative="0">
      <w:start w:val="1"/>
      <w:numFmt w:val="chineseCounting"/>
      <w:suff w:val="nothing"/>
      <w:lvlText w:val="%1、"/>
      <w:lvlJc w:val="left"/>
      <w:rPr>
        <w:rFonts w:hint="eastAsia"/>
      </w:rPr>
    </w:lvl>
  </w:abstractNum>
  <w:abstractNum w:abstractNumId="1">
    <w:nsid w:val="5343B00B"/>
    <w:multiLevelType w:val="singleLevel"/>
    <w:tmpl w:val="5343B00B"/>
    <w:lvl w:ilvl="0" w:tentative="0">
      <w:start w:val="4"/>
      <w:numFmt w:val="chineseCounting"/>
      <w:suff w:val="nothing"/>
      <w:lvlText w:val="%1、"/>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MWRlNGY4YmUyYzUwNWUxZTBhMWM1MGJiMDA0NjM5OWEifQ=="/>
  </w:docVars>
  <w:rsids>
    <w:rsidRoot w:val="00000000"/>
    <w:rsid w:val="005D5E49"/>
    <w:rsid w:val="02EF10DB"/>
    <w:rsid w:val="04462738"/>
    <w:rsid w:val="04A00448"/>
    <w:rsid w:val="1E0F6BD4"/>
    <w:rsid w:val="1FFF0FF2"/>
    <w:rsid w:val="29EF4334"/>
    <w:rsid w:val="2B34219F"/>
    <w:rsid w:val="35EB7BB4"/>
    <w:rsid w:val="3C470E99"/>
    <w:rsid w:val="3E160E69"/>
    <w:rsid w:val="3EBCC327"/>
    <w:rsid w:val="3ED324B7"/>
    <w:rsid w:val="416A43F8"/>
    <w:rsid w:val="426A0E03"/>
    <w:rsid w:val="4E7E1B15"/>
    <w:rsid w:val="5B0565E2"/>
    <w:rsid w:val="70A9180E"/>
    <w:rsid w:val="7AA02113"/>
    <w:rsid w:val="7BFDFDBA"/>
    <w:rsid w:val="DEBF9E4A"/>
    <w:rsid w:val="FFF983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7">
    <w:name w:val="Default Paragraph Font"/>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6</Pages>
  <Words>1303</Words>
  <Characters>1345</Characters>
  <Lines>170</Lines>
  <Paragraphs>69</Paragraphs>
  <ScaleCrop>false</ScaleCrop>
  <LinksUpToDate>false</LinksUpToDate>
  <CharactersWithSpaces>1470</CharactersWithSpaces>
  <Application>WPS Office_10.1.0.6929_F1E327BC-269C-435d-A152-05C5408002CA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2021-08-11T10:53:00Z</dcterms:created>
  <dc:creator>Microsoft</dc:creator>
  <cp:lastModifiedBy>Administrator</cp:lastModifiedBy>
  <cp:lastPrinted>2024-06-20T01:18:00Z</cp:lastPrinted>
  <dcterms:modified xsi:type="dcterms:W3CDTF">2024-06-21T00:33:15Z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y fmtid="{D5CDD505-2E9C-101B-9397-08002B2CF9AE}" pid="3" name="ICV">
    <vt:lpwstr>C1CC87BC54A04809A3A9974EB8667522</vt:lpwstr>
  </property>
</Properties>
</file>